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017A" w:rsidRPr="00325F4F" w:rsidRDefault="0081017A" w:rsidP="00F74106">
      <w:pPr>
        <w:pStyle w:val="Title"/>
        <w:bidi w:val="0"/>
        <w:rPr>
          <w:sz w:val="20"/>
          <w:szCs w:val="20"/>
        </w:rPr>
      </w:pPr>
      <w:r w:rsidRPr="00325F4F">
        <w:rPr>
          <w:sz w:val="20"/>
          <w:szCs w:val="20"/>
        </w:rPr>
        <w:t>Chapter One</w:t>
      </w:r>
    </w:p>
    <w:p w:rsidR="000A09DD" w:rsidRPr="00325F4F" w:rsidRDefault="000A09DD" w:rsidP="000A09DD">
      <w:pPr>
        <w:pStyle w:val="Title"/>
        <w:bidi w:val="0"/>
        <w:rPr>
          <w:sz w:val="20"/>
          <w:szCs w:val="20"/>
        </w:rPr>
      </w:pPr>
    </w:p>
    <w:p w:rsidR="006A480D" w:rsidRPr="00325F4F" w:rsidRDefault="006A480D" w:rsidP="0081017A">
      <w:pPr>
        <w:pStyle w:val="Title"/>
        <w:bidi w:val="0"/>
        <w:rPr>
          <w:szCs w:val="24"/>
        </w:rPr>
      </w:pPr>
      <w:r w:rsidRPr="00325F4F">
        <w:rPr>
          <w:szCs w:val="24"/>
        </w:rPr>
        <w:t>Summary</w:t>
      </w:r>
    </w:p>
    <w:p w:rsidR="006A480D" w:rsidRPr="00325F4F" w:rsidRDefault="006A480D" w:rsidP="006A480D">
      <w:pPr>
        <w:pStyle w:val="Title"/>
        <w:bidi w:val="0"/>
        <w:rPr>
          <w:sz w:val="20"/>
          <w:szCs w:val="20"/>
        </w:rPr>
      </w:pPr>
    </w:p>
    <w:p w:rsidR="00D12C4F" w:rsidRPr="00325F4F" w:rsidRDefault="007E5F1A" w:rsidP="0021776D">
      <w:pPr>
        <w:pStyle w:val="Title"/>
        <w:bidi w:val="0"/>
        <w:rPr>
          <w:rFonts w:cs="Traditional Arabic"/>
          <w:szCs w:val="24"/>
        </w:rPr>
      </w:pPr>
      <w:r w:rsidRPr="007E5F1A">
        <w:pict>
          <v:rect id="_x0000_s1026" style="position:absolute;left:0;text-align:left;margin-left:297.25pt;margin-top:-2.95pt;width:42pt;height:24pt;z-index:251653120">
            <v:textbox style="mso-next-textbox:#_x0000_s1026">
              <w:txbxContent>
                <w:p w:rsidR="008832A6" w:rsidRDefault="008832A6" w:rsidP="00045CF3">
                  <w:pPr>
                    <w:jc w:val="center"/>
                    <w:rPr>
                      <w:b/>
                      <w:bCs/>
                      <w:sz w:val="28"/>
                      <w:szCs w:val="28"/>
                    </w:rPr>
                  </w:pPr>
                  <w:r>
                    <w:rPr>
                      <w:sz w:val="28"/>
                    </w:rPr>
                    <w:t>1.1</w:t>
                  </w:r>
                </w:p>
              </w:txbxContent>
            </v:textbox>
          </v:rect>
        </w:pict>
      </w:r>
      <w:r w:rsidR="00045CF3" w:rsidRPr="00325F4F">
        <w:rPr>
          <w:sz w:val="20"/>
          <w:szCs w:val="20"/>
        </w:rPr>
        <w:t>Palestinians in Palestin</w:t>
      </w:r>
      <w:r w:rsidR="0021776D" w:rsidRPr="00325F4F">
        <w:rPr>
          <w:sz w:val="20"/>
          <w:szCs w:val="20"/>
        </w:rPr>
        <w:t>e</w:t>
      </w:r>
      <w:r w:rsidR="00045CF3" w:rsidRPr="00325F4F">
        <w:rPr>
          <w:sz w:val="20"/>
          <w:szCs w:val="20"/>
        </w:rPr>
        <w:t xml:space="preserve"> </w:t>
      </w:r>
    </w:p>
    <w:p w:rsidR="00045CF3" w:rsidRPr="00325F4F" w:rsidRDefault="00045CF3" w:rsidP="00F74106">
      <w:pPr>
        <w:jc w:val="center"/>
      </w:pPr>
      <w:r w:rsidRPr="00325F4F">
        <w:rPr>
          <w:b/>
          <w:bCs/>
        </w:rPr>
        <w:t>(West Bank and Gaza Strip)</w:t>
      </w:r>
      <w:r w:rsidR="00D12C4F" w:rsidRPr="00325F4F">
        <w:t xml:space="preserve"> </w:t>
      </w:r>
    </w:p>
    <w:p w:rsidR="00527986" w:rsidRPr="00325F4F" w:rsidRDefault="00527986" w:rsidP="00F74106">
      <w:pPr>
        <w:jc w:val="center"/>
      </w:pPr>
    </w:p>
    <w:p w:rsidR="00254E3E" w:rsidRPr="00325F4F" w:rsidRDefault="00254E3E" w:rsidP="00254E3E">
      <w:pPr>
        <w:pStyle w:val="Title"/>
        <w:numPr>
          <w:ilvl w:val="0"/>
          <w:numId w:val="19"/>
        </w:numPr>
        <w:bidi w:val="0"/>
        <w:ind w:left="252" w:hanging="252"/>
        <w:jc w:val="left"/>
        <w:rPr>
          <w:rFonts w:cs="Traditional Arabic"/>
          <w:noProof w:val="0"/>
          <w:sz w:val="20"/>
          <w:szCs w:val="20"/>
          <w:rtl/>
        </w:rPr>
      </w:pPr>
      <w:r w:rsidRPr="00325F4F">
        <w:rPr>
          <w:rFonts w:cs="Traditional Arabic"/>
          <w:sz w:val="20"/>
          <w:szCs w:val="20"/>
        </w:rPr>
        <w:t xml:space="preserve">Population                                                         </w:t>
      </w:r>
    </w:p>
    <w:p w:rsidR="00254E3E" w:rsidRPr="00325F4F" w:rsidRDefault="00254E3E" w:rsidP="00254E3E">
      <w:pPr>
        <w:pStyle w:val="BodyText2"/>
        <w:numPr>
          <w:ilvl w:val="0"/>
          <w:numId w:val="2"/>
        </w:numPr>
        <w:overflowPunct/>
        <w:autoSpaceDE/>
        <w:autoSpaceDN/>
        <w:adjustRightInd/>
        <w:spacing w:after="120"/>
        <w:ind w:left="266" w:hanging="266"/>
        <w:textAlignment w:val="auto"/>
      </w:pPr>
      <w:r w:rsidRPr="00325F4F">
        <w:t xml:space="preserve">The population of Palestine was estimated at 4.98 million </w:t>
      </w:r>
      <w:r w:rsidR="00D730FB">
        <w:t xml:space="preserve">in </w:t>
      </w:r>
      <w:r w:rsidRPr="00325F4F">
        <w:t>mid-2019: 2.99 million in the West Bank and 1.99 million in Gaza Strip.</w:t>
      </w:r>
    </w:p>
    <w:p w:rsidR="00254E3E" w:rsidRPr="00325F4F" w:rsidRDefault="0015308F" w:rsidP="0015308F">
      <w:pPr>
        <w:pStyle w:val="BodyText2"/>
        <w:numPr>
          <w:ilvl w:val="0"/>
          <w:numId w:val="2"/>
        </w:numPr>
        <w:overflowPunct/>
        <w:autoSpaceDE/>
        <w:autoSpaceDN/>
        <w:adjustRightInd/>
        <w:spacing w:after="120"/>
        <w:ind w:left="266" w:hanging="266"/>
        <w:textAlignment w:val="auto"/>
        <w:rPr>
          <w:noProof/>
        </w:rPr>
      </w:pPr>
      <w:r>
        <w:rPr>
          <w:noProof/>
        </w:rPr>
        <w:drawing>
          <wp:anchor distT="0" distB="0" distL="114300" distR="114300" simplePos="0" relativeHeight="251708416" behindDoc="0" locked="0" layoutInCell="1" allowOverlap="1">
            <wp:simplePos x="0" y="0"/>
            <wp:positionH relativeFrom="column">
              <wp:posOffset>1957705</wp:posOffset>
            </wp:positionH>
            <wp:positionV relativeFrom="paragraph">
              <wp:posOffset>196850</wp:posOffset>
            </wp:positionV>
            <wp:extent cx="2823845" cy="3614420"/>
            <wp:effectExtent l="19050" t="19050" r="14605" b="24130"/>
            <wp:wrapSquare wrapText="bothSides"/>
            <wp:docPr id="18" name="Picture 10" descr="G:\كتاب فلسطين الاحصائي السنوي 2019\الخرائط\Population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G:\كتاب فلسطين الاحصائي السنوي 2019\الخرائط\Population_2019_En.png"/>
                    <pic:cNvPicPr>
                      <a:picLocks noChangeAspect="1" noChangeArrowheads="1"/>
                    </pic:cNvPicPr>
                  </pic:nvPicPr>
                  <pic:blipFill>
                    <a:blip r:embed="rId8" cstate="print"/>
                    <a:srcRect l="9254" t="12988" r="10298" b="17318"/>
                    <a:stretch>
                      <a:fillRect/>
                    </a:stretch>
                  </pic:blipFill>
                  <pic:spPr bwMode="auto">
                    <a:xfrm>
                      <a:off x="0" y="0"/>
                      <a:ext cx="2823845" cy="3614420"/>
                    </a:xfrm>
                    <a:prstGeom prst="rect">
                      <a:avLst/>
                    </a:prstGeom>
                    <a:noFill/>
                    <a:ln w="9525">
                      <a:solidFill>
                        <a:schemeClr val="tx1"/>
                      </a:solidFill>
                      <a:miter lim="800000"/>
                      <a:headEnd/>
                      <a:tailEnd/>
                    </a:ln>
                  </pic:spPr>
                </pic:pic>
              </a:graphicData>
            </a:graphic>
          </wp:anchor>
        </w:drawing>
      </w:r>
      <w:r w:rsidR="00254E3E" w:rsidRPr="00325F4F">
        <w:rPr>
          <w:noProof/>
        </w:rPr>
        <w:t xml:space="preserve">The population of Palestine is young: </w:t>
      </w:r>
      <w:r w:rsidR="00254E3E" w:rsidRPr="00325F4F">
        <w:rPr>
          <w:rFonts w:hint="cs"/>
          <w:noProof/>
          <w:rtl/>
        </w:rPr>
        <w:t>38.</w:t>
      </w:r>
      <w:r>
        <w:rPr>
          <w:noProof/>
        </w:rPr>
        <w:t>5</w:t>
      </w:r>
      <w:r w:rsidR="00254E3E" w:rsidRPr="00325F4F">
        <w:rPr>
          <w:noProof/>
        </w:rPr>
        <w:t>% of the total population were under 15 years in mid-2019: 36.</w:t>
      </w:r>
      <w:r>
        <w:rPr>
          <w:noProof/>
        </w:rPr>
        <w:t>4</w:t>
      </w:r>
      <w:r w:rsidR="00254E3E" w:rsidRPr="00325F4F">
        <w:rPr>
          <w:noProof/>
        </w:rPr>
        <w:t>% in the West Bank and 4</w:t>
      </w:r>
      <w:r>
        <w:rPr>
          <w:noProof/>
        </w:rPr>
        <w:t>1</w:t>
      </w:r>
      <w:r w:rsidR="00254E3E" w:rsidRPr="00325F4F">
        <w:rPr>
          <w:noProof/>
        </w:rPr>
        <w:t>.</w:t>
      </w:r>
      <w:r>
        <w:rPr>
          <w:noProof/>
        </w:rPr>
        <w:t>4</w:t>
      </w:r>
      <w:r w:rsidR="00254E3E" w:rsidRPr="00325F4F">
        <w:rPr>
          <w:noProof/>
        </w:rPr>
        <w:t>% in Gaza Strip.  Persons aged 65 and above constituted 3.</w:t>
      </w:r>
      <w:r>
        <w:rPr>
          <w:noProof/>
        </w:rPr>
        <w:t>3</w:t>
      </w:r>
      <w:r w:rsidR="00254E3E" w:rsidRPr="00325F4F">
        <w:rPr>
          <w:noProof/>
        </w:rPr>
        <w:t xml:space="preserve">% of the total population: </w:t>
      </w:r>
      <w:r>
        <w:rPr>
          <w:noProof/>
        </w:rPr>
        <w:t>3.6</w:t>
      </w:r>
      <w:r w:rsidR="00254E3E" w:rsidRPr="00325F4F">
        <w:rPr>
          <w:noProof/>
        </w:rPr>
        <w:t xml:space="preserve">% in the West Bank and </w:t>
      </w:r>
      <w:r>
        <w:rPr>
          <w:noProof/>
        </w:rPr>
        <w:t>2.9</w:t>
      </w:r>
      <w:r w:rsidR="00254E3E" w:rsidRPr="00325F4F">
        <w:rPr>
          <w:noProof/>
        </w:rPr>
        <w:t>% in Gaza Strip. </w:t>
      </w:r>
    </w:p>
    <w:p w:rsidR="00254E3E" w:rsidRPr="00325F4F" w:rsidRDefault="00254E3E" w:rsidP="00254E3E">
      <w:pPr>
        <w:pStyle w:val="BodyText2"/>
        <w:numPr>
          <w:ilvl w:val="0"/>
          <w:numId w:val="2"/>
        </w:numPr>
        <w:overflowPunct/>
        <w:autoSpaceDE/>
        <w:autoSpaceDN/>
        <w:adjustRightInd/>
        <w:spacing w:after="120"/>
        <w:ind w:left="266" w:hanging="266"/>
        <w:textAlignment w:val="auto"/>
        <w:rPr>
          <w:noProof/>
        </w:rPr>
      </w:pPr>
      <w:r w:rsidRPr="00325F4F">
        <w:rPr>
          <w:noProof/>
        </w:rPr>
        <w:t>The total fertility rate in Palestine between 2011 and 2013 was 4.1 births: 3.7 births in the West Bank and 4.5 births in Gaza Strip.</w:t>
      </w:r>
    </w:p>
    <w:p w:rsidR="00254E3E" w:rsidRPr="00325F4F" w:rsidRDefault="00254E3E" w:rsidP="004F27E2">
      <w:pPr>
        <w:pStyle w:val="BodyText2"/>
        <w:numPr>
          <w:ilvl w:val="0"/>
          <w:numId w:val="2"/>
        </w:numPr>
        <w:overflowPunct/>
        <w:autoSpaceDE/>
        <w:autoSpaceDN/>
        <w:adjustRightInd/>
        <w:spacing w:after="120"/>
        <w:ind w:left="266" w:hanging="266"/>
        <w:textAlignment w:val="auto"/>
        <w:rPr>
          <w:noProof/>
        </w:rPr>
      </w:pPr>
      <w:r w:rsidRPr="00325F4F">
        <w:rPr>
          <w:noProof/>
        </w:rPr>
        <w:t xml:space="preserve">The Annual estimated growth rate of the Palestinian population was 2.5% in Palestine in mid </w:t>
      </w:r>
      <w:r w:rsidR="004F27E2">
        <w:rPr>
          <w:noProof/>
        </w:rPr>
        <w:t>2019</w:t>
      </w:r>
      <w:r w:rsidRPr="00325F4F">
        <w:rPr>
          <w:noProof/>
        </w:rPr>
        <w:t>: 2.2% in the West Bank and 2.9% in Gaza Strip.</w:t>
      </w:r>
    </w:p>
    <w:p w:rsidR="00254E3E" w:rsidRPr="00325F4F" w:rsidRDefault="00254E3E" w:rsidP="00254E3E">
      <w:pPr>
        <w:pStyle w:val="BodyText2"/>
        <w:numPr>
          <w:ilvl w:val="0"/>
          <w:numId w:val="2"/>
        </w:numPr>
        <w:overflowPunct/>
        <w:autoSpaceDE/>
        <w:autoSpaceDN/>
        <w:adjustRightInd/>
        <w:spacing w:after="120"/>
        <w:ind w:left="266" w:hanging="266"/>
        <w:textAlignment w:val="auto"/>
        <w:rPr>
          <w:noProof/>
        </w:rPr>
      </w:pPr>
      <w:r w:rsidRPr="00325F4F">
        <w:rPr>
          <w:noProof/>
        </w:rPr>
        <w:t>In 2019, life expectancy at birth in Palestine was 74.0 years: 72.9 years for males and 75.2 years for females.</w:t>
      </w:r>
    </w:p>
    <w:p w:rsidR="00254E3E" w:rsidRPr="00325F4F" w:rsidRDefault="00254E3E" w:rsidP="00254E3E">
      <w:pPr>
        <w:pStyle w:val="BodyText2"/>
        <w:numPr>
          <w:ilvl w:val="0"/>
          <w:numId w:val="2"/>
        </w:numPr>
        <w:overflowPunct/>
        <w:autoSpaceDE/>
        <w:autoSpaceDN/>
        <w:adjustRightInd/>
        <w:spacing w:after="120"/>
        <w:ind w:left="266" w:hanging="266"/>
        <w:textAlignment w:val="auto"/>
        <w:rPr>
          <w:noProof/>
        </w:rPr>
      </w:pPr>
      <w:r w:rsidRPr="00325F4F">
        <w:rPr>
          <w:noProof/>
        </w:rPr>
        <w:t>In 2018, Palestinian refugees constituted 41.0% of the total population: 26.0% in the West Bank and 64.0</w:t>
      </w:r>
      <w:r w:rsidRPr="00325F4F">
        <w:rPr>
          <w:noProof/>
          <w:rtl/>
        </w:rPr>
        <w:t xml:space="preserve"> </w:t>
      </w:r>
      <w:r w:rsidRPr="00325F4F">
        <w:rPr>
          <w:noProof/>
        </w:rPr>
        <w:t>% in Gaza Strip.</w:t>
      </w:r>
    </w:p>
    <w:p w:rsidR="00254E3E" w:rsidRPr="00325F4F" w:rsidRDefault="00254E3E" w:rsidP="00254E3E">
      <w:pPr>
        <w:pStyle w:val="BodyText2"/>
        <w:numPr>
          <w:ilvl w:val="0"/>
          <w:numId w:val="2"/>
        </w:numPr>
        <w:overflowPunct/>
        <w:autoSpaceDE/>
        <w:autoSpaceDN/>
        <w:adjustRightInd/>
        <w:spacing w:after="120"/>
        <w:ind w:left="266" w:hanging="266"/>
        <w:textAlignment w:val="auto"/>
        <w:rPr>
          <w:noProof/>
        </w:rPr>
      </w:pPr>
      <w:r w:rsidRPr="00325F4F">
        <w:rPr>
          <w:noProof/>
        </w:rPr>
        <w:t>The average household size in Palestine was 5.0 persons in 2018: 4.6 in the West Bank and 5.7 in Gaza Strip.</w:t>
      </w:r>
    </w:p>
    <w:p w:rsidR="00527986" w:rsidRPr="00325F4F" w:rsidRDefault="00527986" w:rsidP="00793CB8">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population, see the tables in chapter 1.</w:t>
      </w:r>
      <w:r w:rsidR="00747CC0" w:rsidRPr="00325F4F">
        <w:rPr>
          <w:rFonts w:cs="Times New Roman"/>
          <w:b/>
          <w:bCs/>
          <w:i/>
          <w:iCs/>
          <w:sz w:val="18"/>
          <w:szCs w:val="18"/>
          <w:u w:val="single"/>
        </w:rPr>
        <w:t>1</w:t>
      </w:r>
      <w:r w:rsidRPr="00325F4F">
        <w:rPr>
          <w:rFonts w:cs="Times New Roman"/>
          <w:b/>
          <w:bCs/>
          <w:i/>
          <w:iCs/>
          <w:sz w:val="18"/>
          <w:szCs w:val="18"/>
          <w:u w:val="single"/>
        </w:rPr>
        <w:t xml:space="preserve"> in the Arabic section, pages </w:t>
      </w:r>
      <w:r w:rsidR="0088567C" w:rsidRPr="00325F4F">
        <w:rPr>
          <w:rFonts w:cs="Times New Roman"/>
          <w:b/>
          <w:bCs/>
          <w:i/>
          <w:iCs/>
          <w:sz w:val="18"/>
          <w:szCs w:val="18"/>
          <w:u w:val="single"/>
        </w:rPr>
        <w:t>19</w:t>
      </w:r>
      <w:r w:rsidRPr="00325F4F">
        <w:rPr>
          <w:rFonts w:cs="Times New Roman"/>
          <w:b/>
          <w:bCs/>
          <w:i/>
          <w:iCs/>
          <w:sz w:val="18"/>
          <w:szCs w:val="18"/>
          <w:u w:val="single"/>
        </w:rPr>
        <w:t>-</w:t>
      </w:r>
      <w:r w:rsidR="0088567C" w:rsidRPr="00325F4F">
        <w:rPr>
          <w:rFonts w:cs="Times New Roman"/>
          <w:b/>
          <w:bCs/>
          <w:i/>
          <w:iCs/>
          <w:sz w:val="18"/>
          <w:szCs w:val="18"/>
          <w:u w:val="single"/>
        </w:rPr>
        <w:t>2</w:t>
      </w:r>
      <w:r w:rsidR="00793CB8" w:rsidRPr="00325F4F">
        <w:rPr>
          <w:rFonts w:cs="Times New Roman"/>
          <w:b/>
          <w:bCs/>
          <w:i/>
          <w:iCs/>
          <w:sz w:val="18"/>
          <w:szCs w:val="18"/>
          <w:u w:val="single"/>
        </w:rPr>
        <w:t>6</w:t>
      </w:r>
      <w:r w:rsidRPr="00325F4F">
        <w:rPr>
          <w:rFonts w:cs="Times New Roman"/>
          <w:b/>
          <w:bCs/>
          <w:i/>
          <w:iCs/>
          <w:sz w:val="18"/>
          <w:szCs w:val="18"/>
          <w:u w:val="single"/>
        </w:rPr>
        <w:t>.</w:t>
      </w:r>
    </w:p>
    <w:p w:rsidR="00C67757" w:rsidRPr="00325F4F" w:rsidRDefault="00C67757" w:rsidP="00C67757">
      <w:pPr>
        <w:pStyle w:val="ListParagraph"/>
        <w:bidi w:val="0"/>
        <w:ind w:left="0"/>
        <w:jc w:val="lowKashida"/>
        <w:rPr>
          <w:rFonts w:cs="Times New Roman"/>
          <w:i/>
          <w:iCs/>
          <w:sz w:val="20"/>
          <w:u w:val="single"/>
        </w:rPr>
      </w:pPr>
    </w:p>
    <w:p w:rsidR="007A6A47" w:rsidRPr="00325F4F" w:rsidRDefault="007A6A47" w:rsidP="007A6A47">
      <w:pPr>
        <w:pStyle w:val="ListParagraph"/>
        <w:bidi w:val="0"/>
        <w:ind w:left="0"/>
        <w:jc w:val="lowKashida"/>
        <w:rPr>
          <w:rFonts w:cs="Times New Roman"/>
          <w:i/>
          <w:iCs/>
          <w:sz w:val="20"/>
          <w:u w:val="single"/>
        </w:rPr>
      </w:pPr>
    </w:p>
    <w:p w:rsidR="00456A8A" w:rsidRDefault="00456A8A">
      <w:pPr>
        <w:overflowPunct/>
        <w:autoSpaceDE/>
        <w:autoSpaceDN/>
        <w:adjustRightInd/>
        <w:textAlignment w:val="auto"/>
        <w:rPr>
          <w:rFonts w:cs="Traditional Arabic"/>
          <w:b/>
          <w:bCs/>
          <w:noProof/>
        </w:rPr>
      </w:pPr>
      <w:r>
        <w:rPr>
          <w:rFonts w:cs="Traditional Arabic"/>
        </w:rPr>
        <w:br w:type="page"/>
      </w:r>
    </w:p>
    <w:p w:rsidR="00C67757" w:rsidRPr="00325F4F" w:rsidRDefault="00C67757" w:rsidP="00332048">
      <w:pPr>
        <w:pStyle w:val="Title"/>
        <w:numPr>
          <w:ilvl w:val="0"/>
          <w:numId w:val="19"/>
        </w:numPr>
        <w:bidi w:val="0"/>
        <w:ind w:left="252" w:hanging="252"/>
        <w:jc w:val="left"/>
        <w:rPr>
          <w:rFonts w:cs="Traditional Arabic"/>
          <w:sz w:val="20"/>
          <w:szCs w:val="20"/>
        </w:rPr>
      </w:pPr>
      <w:r w:rsidRPr="00325F4F">
        <w:rPr>
          <w:rFonts w:cs="Traditional Arabic"/>
          <w:sz w:val="20"/>
          <w:szCs w:val="20"/>
        </w:rPr>
        <w:lastRenderedPageBreak/>
        <w:t xml:space="preserve">Buildings </w:t>
      </w:r>
      <w:r w:rsidR="00F77085">
        <w:rPr>
          <w:rFonts w:cs="Traditional Arabic"/>
          <w:sz w:val="20"/>
          <w:szCs w:val="20"/>
        </w:rPr>
        <w:t>and Housing Units</w:t>
      </w:r>
    </w:p>
    <w:p w:rsidR="00C67757" w:rsidRPr="00325F4F" w:rsidRDefault="000432A2" w:rsidP="000432A2">
      <w:pPr>
        <w:pStyle w:val="BodyText2"/>
        <w:numPr>
          <w:ilvl w:val="0"/>
          <w:numId w:val="2"/>
        </w:numPr>
        <w:overflowPunct/>
        <w:autoSpaceDE/>
        <w:autoSpaceDN/>
        <w:adjustRightInd/>
        <w:spacing w:after="120"/>
        <w:ind w:left="266" w:hanging="266"/>
        <w:textAlignment w:val="auto"/>
        <w:rPr>
          <w:noProof/>
        </w:rPr>
      </w:pPr>
      <w:r>
        <w:rPr>
          <w:noProof/>
        </w:rPr>
        <w:drawing>
          <wp:anchor distT="0" distB="0" distL="114300" distR="114300" simplePos="0" relativeHeight="251710464" behindDoc="0" locked="0" layoutInCell="1" allowOverlap="1">
            <wp:simplePos x="0" y="0"/>
            <wp:positionH relativeFrom="column">
              <wp:posOffset>1226185</wp:posOffset>
            </wp:positionH>
            <wp:positionV relativeFrom="paragraph">
              <wp:posOffset>266065</wp:posOffset>
            </wp:positionV>
            <wp:extent cx="3607435" cy="4335145"/>
            <wp:effectExtent l="38100" t="19050" r="12065" b="27305"/>
            <wp:wrapSquare wrapText="bothSides"/>
            <wp:docPr id="19" name="Picture 14" descr="G:\كتاب فلسطين الاحصائي السنوي 2019\الخرائط\Buildings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كتاب فلسطين الاحصائي السنوي 2019\الخرائط\Buildings_2019_En.png"/>
                    <pic:cNvPicPr>
                      <a:picLocks noChangeAspect="1" noChangeArrowheads="1"/>
                    </pic:cNvPicPr>
                  </pic:nvPicPr>
                  <pic:blipFill>
                    <a:blip r:embed="rId9" cstate="print"/>
                    <a:srcRect l="9715" t="12210" r="9572" b="16923"/>
                    <a:stretch>
                      <a:fillRect/>
                    </a:stretch>
                  </pic:blipFill>
                  <pic:spPr bwMode="auto">
                    <a:xfrm>
                      <a:off x="0" y="0"/>
                      <a:ext cx="3607435" cy="4335145"/>
                    </a:xfrm>
                    <a:prstGeom prst="rect">
                      <a:avLst/>
                    </a:prstGeom>
                    <a:noFill/>
                    <a:ln w="9525">
                      <a:solidFill>
                        <a:schemeClr val="tx1"/>
                      </a:solidFill>
                      <a:miter lim="800000"/>
                      <a:headEnd/>
                      <a:tailEnd/>
                    </a:ln>
                  </pic:spPr>
                </pic:pic>
              </a:graphicData>
            </a:graphic>
          </wp:anchor>
        </w:drawing>
      </w:r>
      <w:r w:rsidR="00C67757" w:rsidRPr="00325F4F">
        <w:rPr>
          <w:noProof/>
        </w:rPr>
        <w:t xml:space="preserve">The results of </w:t>
      </w:r>
      <w:r w:rsidR="00B66E51" w:rsidRPr="00325F4F">
        <w:rPr>
          <w:noProof/>
        </w:rPr>
        <w:t xml:space="preserve">census </w:t>
      </w:r>
      <w:r w:rsidR="00456A8A">
        <w:rPr>
          <w:noProof/>
        </w:rPr>
        <w:t>2017</w:t>
      </w:r>
      <w:r w:rsidR="00C67757" w:rsidRPr="00325F4F">
        <w:rPr>
          <w:noProof/>
        </w:rPr>
        <w:t xml:space="preserve"> showed that there </w:t>
      </w:r>
      <w:r w:rsidR="00834995" w:rsidRPr="00325F4F">
        <w:rPr>
          <w:noProof/>
        </w:rPr>
        <w:t xml:space="preserve">were </w:t>
      </w:r>
      <w:r w:rsidR="00C67757" w:rsidRPr="00325F4F">
        <w:rPr>
          <w:noProof/>
        </w:rPr>
        <w:t xml:space="preserve">627,383 buildings in Palestine of which </w:t>
      </w:r>
      <w:r w:rsidR="00AE6B89" w:rsidRPr="00325F4F">
        <w:rPr>
          <w:noProof/>
        </w:rPr>
        <w:t>441</w:t>
      </w:r>
      <w:r w:rsidR="00C67757" w:rsidRPr="00325F4F">
        <w:rPr>
          <w:noProof/>
        </w:rPr>
        <w:t>,2</w:t>
      </w:r>
      <w:r w:rsidR="00AE6B89" w:rsidRPr="00325F4F">
        <w:rPr>
          <w:noProof/>
        </w:rPr>
        <w:t>80</w:t>
      </w:r>
      <w:r w:rsidR="00C67757" w:rsidRPr="00325F4F">
        <w:rPr>
          <w:noProof/>
        </w:rPr>
        <w:t xml:space="preserve"> </w:t>
      </w:r>
      <w:r w:rsidR="00834995" w:rsidRPr="00325F4F">
        <w:rPr>
          <w:noProof/>
        </w:rPr>
        <w:t xml:space="preserve">were </w:t>
      </w:r>
      <w:r w:rsidR="00C67757" w:rsidRPr="00325F4F">
        <w:rPr>
          <w:noProof/>
        </w:rPr>
        <w:t xml:space="preserve">in the West Bank (70.3%), and 186,103 in Gaza Strip (29.7%).  Additionally, the census results showed that there were 1,129,264 housing units in Palestine, of which 726,143 </w:t>
      </w:r>
      <w:r w:rsidR="00834995" w:rsidRPr="00325F4F">
        <w:rPr>
          <w:noProof/>
        </w:rPr>
        <w:t xml:space="preserve">were </w:t>
      </w:r>
      <w:r w:rsidR="00C67757" w:rsidRPr="00325F4F">
        <w:rPr>
          <w:noProof/>
        </w:rPr>
        <w:t>in the West Bank</w:t>
      </w:r>
      <w:r w:rsidR="004724D5" w:rsidRPr="00325F4F">
        <w:rPr>
          <w:noProof/>
        </w:rPr>
        <w:t xml:space="preserve"> (excluding Jerusalem</w:t>
      </w:r>
      <w:r>
        <w:rPr>
          <w:noProof/>
        </w:rPr>
        <w:t xml:space="preserve"> </w:t>
      </w:r>
      <w:r w:rsidR="004724D5" w:rsidRPr="00325F4F">
        <w:rPr>
          <w:noProof/>
        </w:rPr>
        <w:t>J1)</w:t>
      </w:r>
      <w:r w:rsidR="00C67757" w:rsidRPr="00325F4F">
        <w:rPr>
          <w:noProof/>
        </w:rPr>
        <w:t xml:space="preserve"> (64.3%), and 403,121 in Gaza Strip (35.7%). </w:t>
      </w:r>
    </w:p>
    <w:p w:rsidR="00793CB8" w:rsidRPr="00325F4F" w:rsidRDefault="00793CB8"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w:t>
      </w:r>
      <w:r w:rsidR="00B51C6A" w:rsidRPr="00325F4F">
        <w:rPr>
          <w:rFonts w:cs="Times New Roman"/>
          <w:b/>
          <w:bCs/>
          <w:i/>
          <w:iCs/>
          <w:sz w:val="18"/>
          <w:szCs w:val="18"/>
          <w:u w:val="single"/>
        </w:rPr>
        <w:t>b</w:t>
      </w:r>
      <w:r w:rsidRPr="00325F4F">
        <w:rPr>
          <w:rFonts w:cs="Times New Roman"/>
          <w:b/>
          <w:bCs/>
          <w:i/>
          <w:iCs/>
          <w:sz w:val="18"/>
          <w:szCs w:val="18"/>
          <w:u w:val="single"/>
        </w:rPr>
        <w:t>uildings, see the tables in chapter 1.2 in the Arabic section, pages  27-</w:t>
      </w:r>
      <w:r w:rsidR="0015308F">
        <w:rPr>
          <w:rFonts w:cs="Times New Roman"/>
          <w:b/>
          <w:bCs/>
          <w:i/>
          <w:iCs/>
          <w:sz w:val="18"/>
          <w:szCs w:val="18"/>
          <w:u w:val="single"/>
        </w:rPr>
        <w:t>36</w:t>
      </w:r>
      <w:r w:rsidRPr="00325F4F">
        <w:rPr>
          <w:rFonts w:cs="Times New Roman"/>
          <w:b/>
          <w:bCs/>
          <w:i/>
          <w:iCs/>
          <w:sz w:val="18"/>
          <w:szCs w:val="18"/>
          <w:u w:val="single"/>
        </w:rPr>
        <w:t>.</w:t>
      </w:r>
    </w:p>
    <w:p w:rsidR="00793CB8" w:rsidRDefault="00793CB8" w:rsidP="00793CB8">
      <w:pPr>
        <w:pStyle w:val="BodyText2"/>
        <w:overflowPunct/>
        <w:autoSpaceDE/>
        <w:autoSpaceDN/>
        <w:adjustRightInd/>
        <w:spacing w:after="120"/>
        <w:ind w:left="142"/>
        <w:textAlignment w:val="auto"/>
      </w:pPr>
    </w:p>
    <w:p w:rsidR="00456A8A" w:rsidRDefault="00456A8A" w:rsidP="00793CB8">
      <w:pPr>
        <w:pStyle w:val="BodyText2"/>
        <w:overflowPunct/>
        <w:autoSpaceDE/>
        <w:autoSpaceDN/>
        <w:adjustRightInd/>
        <w:spacing w:after="120"/>
        <w:ind w:left="142"/>
        <w:textAlignment w:val="auto"/>
      </w:pPr>
    </w:p>
    <w:p w:rsidR="00456A8A" w:rsidRDefault="00456A8A" w:rsidP="00793CB8">
      <w:pPr>
        <w:pStyle w:val="BodyText2"/>
        <w:overflowPunct/>
        <w:autoSpaceDE/>
        <w:autoSpaceDN/>
        <w:adjustRightInd/>
        <w:spacing w:after="120"/>
        <w:ind w:left="142"/>
        <w:textAlignment w:val="auto"/>
      </w:pPr>
    </w:p>
    <w:p w:rsidR="00456A8A" w:rsidRDefault="00456A8A" w:rsidP="00793CB8">
      <w:pPr>
        <w:pStyle w:val="BodyText2"/>
        <w:overflowPunct/>
        <w:autoSpaceDE/>
        <w:autoSpaceDN/>
        <w:adjustRightInd/>
        <w:spacing w:after="120"/>
        <w:ind w:left="142"/>
        <w:textAlignment w:val="auto"/>
      </w:pPr>
    </w:p>
    <w:p w:rsidR="00456A8A" w:rsidRDefault="00456A8A" w:rsidP="00793CB8">
      <w:pPr>
        <w:pStyle w:val="BodyText2"/>
        <w:overflowPunct/>
        <w:autoSpaceDE/>
        <w:autoSpaceDN/>
        <w:adjustRightInd/>
        <w:spacing w:after="120"/>
        <w:ind w:left="142"/>
        <w:textAlignment w:val="auto"/>
      </w:pPr>
    </w:p>
    <w:p w:rsidR="00456A8A" w:rsidRDefault="00456A8A">
      <w:pPr>
        <w:overflowPunct/>
        <w:autoSpaceDE/>
        <w:autoSpaceDN/>
        <w:adjustRightInd/>
        <w:textAlignment w:val="auto"/>
        <w:rPr>
          <w:rFonts w:cs="Traditional Arabic"/>
          <w:b/>
          <w:bCs/>
          <w:noProof/>
        </w:rPr>
      </w:pPr>
    </w:p>
    <w:p w:rsidR="00527986" w:rsidRPr="00325F4F" w:rsidRDefault="00527986" w:rsidP="00332048">
      <w:pPr>
        <w:pStyle w:val="Title"/>
        <w:numPr>
          <w:ilvl w:val="0"/>
          <w:numId w:val="19"/>
        </w:numPr>
        <w:bidi w:val="0"/>
        <w:ind w:left="252" w:hanging="252"/>
        <w:jc w:val="left"/>
        <w:rPr>
          <w:rFonts w:cs="Traditional Arabic"/>
          <w:sz w:val="20"/>
          <w:szCs w:val="20"/>
        </w:rPr>
      </w:pPr>
      <w:r w:rsidRPr="00325F4F">
        <w:rPr>
          <w:rFonts w:cs="Traditional Arabic"/>
          <w:sz w:val="20"/>
          <w:szCs w:val="20"/>
        </w:rPr>
        <w:t xml:space="preserve">Vital Statistics            </w:t>
      </w:r>
    </w:p>
    <w:p w:rsidR="001575DF" w:rsidRPr="00325F4F" w:rsidRDefault="00F7245A" w:rsidP="00A32F7B">
      <w:pPr>
        <w:pStyle w:val="BodyText2"/>
        <w:numPr>
          <w:ilvl w:val="0"/>
          <w:numId w:val="2"/>
        </w:numPr>
        <w:overflowPunct/>
        <w:autoSpaceDE/>
        <w:autoSpaceDN/>
        <w:adjustRightInd/>
        <w:spacing w:after="120"/>
        <w:ind w:left="266" w:hanging="266"/>
        <w:textAlignment w:val="auto"/>
        <w:rPr>
          <w:noProof/>
        </w:rPr>
      </w:pPr>
      <w:r w:rsidRPr="00325F4F">
        <w:t>The Data of registered births and registered deaths does not include Jerusalem ID holders</w:t>
      </w:r>
      <w:r w:rsidR="00A32F7B">
        <w:t>.</w:t>
      </w:r>
      <w:r w:rsidR="00A32F7B" w:rsidRPr="00325F4F">
        <w:t xml:space="preserve"> </w:t>
      </w:r>
      <w:r w:rsidR="00A32F7B">
        <w:t>T</w:t>
      </w:r>
      <w:r w:rsidR="00A32F7B" w:rsidRPr="00325F4F">
        <w:t xml:space="preserve">he </w:t>
      </w:r>
      <w:r w:rsidRPr="00325F4F">
        <w:t>number of live births registered in Palestine in 2018 was 141,407, comprising 82,451 in the West Bank and 58,956 in Gaza Strip. While the number of registered deaths in the same year was 12,296 in Palestine</w:t>
      </w:r>
      <w:r w:rsidR="00A32F7B">
        <w:t xml:space="preserve"> of which</w:t>
      </w:r>
      <w:r w:rsidR="00A32F7B" w:rsidRPr="00325F4F">
        <w:t xml:space="preserve"> </w:t>
      </w:r>
      <w:r w:rsidRPr="00325F4F">
        <w:t>7,133 were in the West Bank and 5,163 in the Gaza Strip.</w:t>
      </w:r>
    </w:p>
    <w:p w:rsidR="00254E3E" w:rsidRPr="00325F4F" w:rsidRDefault="000432A2" w:rsidP="00254E3E">
      <w:pPr>
        <w:pStyle w:val="BodyText2"/>
        <w:numPr>
          <w:ilvl w:val="0"/>
          <w:numId w:val="2"/>
        </w:numPr>
        <w:overflowPunct/>
        <w:autoSpaceDE/>
        <w:autoSpaceDN/>
        <w:adjustRightInd/>
        <w:spacing w:after="120"/>
        <w:ind w:left="266" w:hanging="266"/>
        <w:textAlignment w:val="auto"/>
        <w:rPr>
          <w:noProof/>
        </w:rPr>
      </w:pPr>
      <w:r>
        <w:rPr>
          <w:noProof/>
        </w:rPr>
        <w:lastRenderedPageBreak/>
        <w:drawing>
          <wp:anchor distT="0" distB="0" distL="114300" distR="114300" simplePos="0" relativeHeight="251712512" behindDoc="0" locked="0" layoutInCell="1" allowOverlap="1">
            <wp:simplePos x="0" y="0"/>
            <wp:positionH relativeFrom="column">
              <wp:posOffset>1615440</wp:posOffset>
            </wp:positionH>
            <wp:positionV relativeFrom="paragraph">
              <wp:posOffset>347980</wp:posOffset>
            </wp:positionV>
            <wp:extent cx="3117850" cy="3800475"/>
            <wp:effectExtent l="38100" t="19050" r="25400" b="28575"/>
            <wp:wrapSquare wrapText="bothSides"/>
            <wp:docPr id="20" name="Picture 8" descr="G:\كتاب فلسطين الاحصائي السنوي 2019\الخرائط\Marriage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G:\كتاب فلسطين الاحصائي السنوي 2019\الخرائط\Marriage_2019_En.png"/>
                    <pic:cNvPicPr>
                      <a:picLocks noChangeAspect="1" noChangeArrowheads="1"/>
                    </pic:cNvPicPr>
                  </pic:nvPicPr>
                  <pic:blipFill>
                    <a:blip r:embed="rId10" cstate="print"/>
                    <a:srcRect l="9804" t="13367" r="11321" b="17653"/>
                    <a:stretch>
                      <a:fillRect/>
                    </a:stretch>
                  </pic:blipFill>
                  <pic:spPr bwMode="auto">
                    <a:xfrm>
                      <a:off x="0" y="0"/>
                      <a:ext cx="3117850" cy="3800475"/>
                    </a:xfrm>
                    <a:prstGeom prst="rect">
                      <a:avLst/>
                    </a:prstGeom>
                    <a:noFill/>
                    <a:ln w="9525">
                      <a:solidFill>
                        <a:schemeClr val="tx1"/>
                      </a:solidFill>
                      <a:miter lim="800000"/>
                      <a:headEnd/>
                      <a:tailEnd/>
                    </a:ln>
                  </pic:spPr>
                </pic:pic>
              </a:graphicData>
            </a:graphic>
          </wp:anchor>
        </w:drawing>
      </w:r>
      <w:r w:rsidR="00254E3E" w:rsidRPr="00325F4F">
        <w:rPr>
          <w:noProof/>
        </w:rPr>
        <w:t>The median age at first marriage in Palestine was 20.5 years for females and 25.1 years for males in 2018.  The number of registered marriages in 2018 at Sharia courts and churches in Palestine was 43,515; comprising 28,378 contracts in the West Bank and 15,137 contracts in Gaza Strip.</w:t>
      </w:r>
    </w:p>
    <w:p w:rsidR="00254E3E" w:rsidRPr="00325F4F" w:rsidRDefault="00254E3E" w:rsidP="00254E3E">
      <w:pPr>
        <w:pStyle w:val="BodyText2"/>
        <w:numPr>
          <w:ilvl w:val="0"/>
          <w:numId w:val="2"/>
        </w:numPr>
        <w:overflowPunct/>
        <w:autoSpaceDE/>
        <w:autoSpaceDN/>
        <w:adjustRightInd/>
        <w:spacing w:after="120"/>
        <w:ind w:left="266" w:hanging="266"/>
        <w:textAlignment w:val="auto"/>
        <w:rPr>
          <w:noProof/>
        </w:rPr>
      </w:pPr>
      <w:r w:rsidRPr="00325F4F">
        <w:rPr>
          <w:noProof/>
        </w:rPr>
        <w:t>Hebron governorate recorded the highest number of marriages in Palestine with 8,008 contracts while Jericho</w:t>
      </w:r>
      <w:r w:rsidRPr="00325F4F">
        <w:rPr>
          <w:noProof/>
          <w:rtl/>
        </w:rPr>
        <w:t xml:space="preserve"> &amp; </w:t>
      </w:r>
      <w:r w:rsidRPr="00325F4F">
        <w:rPr>
          <w:noProof/>
        </w:rPr>
        <w:t>Al Aghwar governorate recorded the lowest number of marriages with 450 contracts.</w:t>
      </w:r>
    </w:p>
    <w:p w:rsidR="00254E3E" w:rsidRPr="00325F4F" w:rsidRDefault="00254E3E" w:rsidP="001471B6">
      <w:pPr>
        <w:pStyle w:val="BodyText2"/>
        <w:numPr>
          <w:ilvl w:val="0"/>
          <w:numId w:val="2"/>
        </w:numPr>
        <w:overflowPunct/>
        <w:autoSpaceDE/>
        <w:autoSpaceDN/>
        <w:adjustRightInd/>
        <w:spacing w:after="120"/>
        <w:ind w:left="266" w:hanging="266"/>
        <w:textAlignment w:val="auto"/>
        <w:rPr>
          <w:noProof/>
        </w:rPr>
      </w:pPr>
      <w:r w:rsidRPr="00325F4F">
        <w:rPr>
          <w:noProof/>
        </w:rPr>
        <w:t>The number of registered divorces at Sharia courts in Palestine in 2018 was 8,509 cases</w:t>
      </w:r>
      <w:r w:rsidR="001471B6">
        <w:rPr>
          <w:noProof/>
        </w:rPr>
        <w:t>;</w:t>
      </w:r>
      <w:r w:rsidR="001471B6" w:rsidRPr="00325F4F">
        <w:rPr>
          <w:noProof/>
        </w:rPr>
        <w:t xml:space="preserve"> </w:t>
      </w:r>
      <w:r w:rsidRPr="00325F4F">
        <w:rPr>
          <w:noProof/>
        </w:rPr>
        <w:t>5,36</w:t>
      </w:r>
      <w:r w:rsidR="0015308F">
        <w:rPr>
          <w:noProof/>
        </w:rPr>
        <w:t>2</w:t>
      </w:r>
      <w:r w:rsidRPr="00325F4F">
        <w:rPr>
          <w:noProof/>
        </w:rPr>
        <w:t xml:space="preserve"> cases in the West Bank and 3,147 cases in Gaza Strip. Gaza governorate recorded the highest number of divorce cases in Palestine with 1,</w:t>
      </w:r>
      <w:r w:rsidRPr="00325F4F">
        <w:rPr>
          <w:rFonts w:hint="cs"/>
          <w:noProof/>
          <w:rtl/>
        </w:rPr>
        <w:t>127</w:t>
      </w:r>
      <w:r w:rsidRPr="00325F4F">
        <w:rPr>
          <w:noProof/>
        </w:rPr>
        <w:t xml:space="preserve"> while Jericho</w:t>
      </w:r>
      <w:r w:rsidRPr="00325F4F">
        <w:rPr>
          <w:noProof/>
          <w:rtl/>
        </w:rPr>
        <w:t xml:space="preserve"> &amp; </w:t>
      </w:r>
      <w:r w:rsidRPr="00325F4F">
        <w:rPr>
          <w:noProof/>
        </w:rPr>
        <w:t xml:space="preserve">Al Aghwar governorate recorded the lowest number with </w:t>
      </w:r>
      <w:r w:rsidRPr="00325F4F">
        <w:rPr>
          <w:rFonts w:hint="cs"/>
          <w:noProof/>
          <w:rtl/>
        </w:rPr>
        <w:t>98</w:t>
      </w:r>
      <w:r w:rsidRPr="00325F4F">
        <w:rPr>
          <w:noProof/>
        </w:rPr>
        <w:t xml:space="preserve"> cases.</w:t>
      </w:r>
    </w:p>
    <w:p w:rsidR="00527986" w:rsidRDefault="00527986"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w:t>
      </w:r>
      <w:r w:rsidR="00FA6A6A" w:rsidRPr="00325F4F">
        <w:rPr>
          <w:rFonts w:cs="Times New Roman"/>
          <w:b/>
          <w:bCs/>
          <w:i/>
          <w:iCs/>
          <w:sz w:val="18"/>
          <w:szCs w:val="18"/>
          <w:u w:val="single"/>
        </w:rPr>
        <w:t xml:space="preserve">on </w:t>
      </w:r>
      <w:r w:rsidRPr="00325F4F">
        <w:rPr>
          <w:rFonts w:cs="Times New Roman"/>
          <w:b/>
          <w:bCs/>
          <w:i/>
          <w:iCs/>
          <w:sz w:val="18"/>
          <w:szCs w:val="18"/>
          <w:u w:val="single"/>
        </w:rPr>
        <w:t>vital statistics, see the tables in chapter 1.</w:t>
      </w:r>
      <w:r w:rsidR="00084AEE" w:rsidRPr="00325F4F">
        <w:rPr>
          <w:rFonts w:cs="Times New Roman"/>
          <w:b/>
          <w:bCs/>
          <w:i/>
          <w:iCs/>
          <w:sz w:val="18"/>
          <w:szCs w:val="18"/>
          <w:u w:val="single"/>
        </w:rPr>
        <w:t>3</w:t>
      </w:r>
      <w:r w:rsidRPr="00325F4F">
        <w:rPr>
          <w:rFonts w:cs="Times New Roman"/>
          <w:b/>
          <w:bCs/>
          <w:i/>
          <w:iCs/>
          <w:sz w:val="18"/>
          <w:szCs w:val="18"/>
          <w:u w:val="single"/>
        </w:rPr>
        <w:t xml:space="preserve"> of the Arabic section, pages </w:t>
      </w:r>
      <w:r w:rsidR="00793CB8" w:rsidRPr="00325F4F">
        <w:rPr>
          <w:rFonts w:cs="Times New Roman"/>
          <w:b/>
          <w:bCs/>
          <w:i/>
          <w:iCs/>
          <w:sz w:val="18"/>
          <w:szCs w:val="18"/>
          <w:u w:val="single"/>
        </w:rPr>
        <w:t>3</w:t>
      </w:r>
      <w:r w:rsidR="0015308F">
        <w:rPr>
          <w:rFonts w:cs="Times New Roman"/>
          <w:b/>
          <w:bCs/>
          <w:i/>
          <w:iCs/>
          <w:sz w:val="18"/>
          <w:szCs w:val="18"/>
          <w:u w:val="single"/>
        </w:rPr>
        <w:t>7</w:t>
      </w:r>
      <w:r w:rsidRPr="00325F4F">
        <w:rPr>
          <w:rFonts w:cs="Times New Roman"/>
          <w:b/>
          <w:bCs/>
          <w:i/>
          <w:iCs/>
          <w:sz w:val="18"/>
          <w:szCs w:val="18"/>
          <w:u w:val="single"/>
        </w:rPr>
        <w:t>-</w:t>
      </w:r>
      <w:r w:rsidR="0015308F">
        <w:rPr>
          <w:rFonts w:cs="Times New Roman"/>
          <w:b/>
          <w:bCs/>
          <w:i/>
          <w:iCs/>
          <w:sz w:val="18"/>
          <w:szCs w:val="18"/>
          <w:u w:val="single"/>
        </w:rPr>
        <w:t>58</w:t>
      </w:r>
      <w:r w:rsidRPr="00325F4F">
        <w:rPr>
          <w:rFonts w:cs="Times New Roman"/>
          <w:b/>
          <w:bCs/>
          <w:i/>
          <w:iCs/>
          <w:sz w:val="18"/>
          <w:szCs w:val="18"/>
          <w:u w:val="single"/>
        </w:rPr>
        <w:t>.</w:t>
      </w:r>
    </w:p>
    <w:p w:rsidR="001A32EE" w:rsidRPr="00632B94" w:rsidRDefault="001A32EE" w:rsidP="001A32EE">
      <w:pPr>
        <w:pStyle w:val="Title"/>
        <w:numPr>
          <w:ilvl w:val="0"/>
          <w:numId w:val="19"/>
        </w:numPr>
        <w:bidi w:val="0"/>
        <w:ind w:left="252" w:hanging="252"/>
        <w:jc w:val="left"/>
        <w:rPr>
          <w:rFonts w:cs="Traditional Arabic"/>
          <w:sz w:val="20"/>
          <w:szCs w:val="20"/>
        </w:rPr>
      </w:pPr>
      <w:r w:rsidRPr="00632B94">
        <w:rPr>
          <w:rFonts w:cs="Traditional Arabic"/>
          <w:sz w:val="20"/>
          <w:szCs w:val="20"/>
        </w:rPr>
        <w:t xml:space="preserve">Health                                </w:t>
      </w:r>
    </w:p>
    <w:p w:rsidR="001A32EE" w:rsidRPr="003946A6" w:rsidRDefault="001A32EE" w:rsidP="001A32EE">
      <w:pPr>
        <w:pStyle w:val="BodyText2"/>
        <w:numPr>
          <w:ilvl w:val="0"/>
          <w:numId w:val="2"/>
        </w:numPr>
        <w:overflowPunct/>
        <w:autoSpaceDE/>
        <w:autoSpaceDN/>
        <w:adjustRightInd/>
        <w:spacing w:after="120"/>
        <w:ind w:left="266" w:hanging="266"/>
        <w:textAlignment w:val="auto"/>
        <w:rPr>
          <w:noProof/>
        </w:rPr>
      </w:pPr>
      <w:r w:rsidRPr="00632B94">
        <w:rPr>
          <w:noProof/>
        </w:rPr>
        <w:t xml:space="preserve">In </w:t>
      </w:r>
      <w:r>
        <w:rPr>
          <w:noProof/>
        </w:rPr>
        <w:t>2018</w:t>
      </w:r>
      <w:r w:rsidRPr="00632B94">
        <w:rPr>
          <w:noProof/>
        </w:rPr>
        <w:t xml:space="preserve">, there were </w:t>
      </w:r>
      <w:r>
        <w:rPr>
          <w:noProof/>
        </w:rPr>
        <w:t>82</w:t>
      </w:r>
      <w:r w:rsidRPr="00632B94">
        <w:rPr>
          <w:noProof/>
        </w:rPr>
        <w:t xml:space="preserve"> governmental and non-governmental hospitals in Palestine with a </w:t>
      </w:r>
      <w:r w:rsidRPr="003946A6">
        <w:rPr>
          <w:noProof/>
        </w:rPr>
        <w:t xml:space="preserve">capacity of 6,440 beds.  </w:t>
      </w:r>
    </w:p>
    <w:p w:rsidR="001A32EE" w:rsidRPr="003946A6" w:rsidRDefault="001A32EE" w:rsidP="004F27E2">
      <w:pPr>
        <w:pStyle w:val="BodyText2"/>
        <w:numPr>
          <w:ilvl w:val="0"/>
          <w:numId w:val="2"/>
        </w:numPr>
        <w:overflowPunct/>
        <w:autoSpaceDE/>
        <w:autoSpaceDN/>
        <w:adjustRightInd/>
        <w:spacing w:after="120"/>
        <w:ind w:left="266" w:hanging="266"/>
        <w:textAlignment w:val="auto"/>
        <w:rPr>
          <w:noProof/>
        </w:rPr>
      </w:pPr>
      <w:r w:rsidRPr="003946A6">
        <w:rPr>
          <w:noProof/>
        </w:rPr>
        <w:t xml:space="preserve">In 2018, the main causes of child mortality </w:t>
      </w:r>
      <w:r w:rsidR="004F27E2">
        <w:rPr>
          <w:noProof/>
        </w:rPr>
        <w:t>for</w:t>
      </w:r>
      <w:r w:rsidRPr="003946A6">
        <w:rPr>
          <w:noProof/>
        </w:rPr>
        <w:t xml:space="preserve"> children aged (0-4 years</w:t>
      </w:r>
      <w:r w:rsidR="004F27E2" w:rsidRPr="003946A6">
        <w:rPr>
          <w:noProof/>
        </w:rPr>
        <w:t>)</w:t>
      </w:r>
      <w:r w:rsidR="004F27E2">
        <w:rPr>
          <w:noProof/>
        </w:rPr>
        <w:t xml:space="preserve"> </w:t>
      </w:r>
      <w:r w:rsidRPr="003946A6">
        <w:rPr>
          <w:noProof/>
        </w:rPr>
        <w:t>in Palestine were conditions in the prenatal period (68.1%), followed by congenital anomalies (20.5%).</w:t>
      </w:r>
    </w:p>
    <w:p w:rsidR="001A32EE" w:rsidRPr="00632B94" w:rsidRDefault="0031021A" w:rsidP="006F0817">
      <w:pPr>
        <w:pStyle w:val="BodyText2"/>
        <w:numPr>
          <w:ilvl w:val="0"/>
          <w:numId w:val="2"/>
        </w:numPr>
        <w:overflowPunct/>
        <w:autoSpaceDE/>
        <w:autoSpaceDN/>
        <w:adjustRightInd/>
        <w:spacing w:after="120"/>
        <w:ind w:left="266" w:hanging="266"/>
        <w:textAlignment w:val="auto"/>
        <w:rPr>
          <w:noProof/>
        </w:rPr>
      </w:pPr>
      <w:r w:rsidRPr="00632B94">
        <w:rPr>
          <w:noProof/>
        </w:rPr>
        <w:t>In 2017, Mobility disabilities were the most prevalent in Palestine (1.1%), while Communication</w:t>
      </w:r>
      <w:r w:rsidR="006F0817">
        <w:rPr>
          <w:noProof/>
        </w:rPr>
        <w:t>,</w:t>
      </w:r>
      <w:r w:rsidR="005075F0">
        <w:rPr>
          <w:noProof/>
        </w:rPr>
        <w:t xml:space="preserve"> </w:t>
      </w:r>
      <w:r w:rsidRPr="00632B94">
        <w:rPr>
          <w:noProof/>
        </w:rPr>
        <w:t>Remembering and Concentration disabilities were the least prevalent (0.4%) for each.</w:t>
      </w:r>
      <w:r w:rsidR="001A32EE" w:rsidRPr="00632B94">
        <w:rPr>
          <w:noProof/>
        </w:rPr>
        <w:t xml:space="preserve"> </w:t>
      </w:r>
    </w:p>
    <w:p w:rsidR="001A32EE" w:rsidRPr="00632B94" w:rsidRDefault="001A32EE" w:rsidP="001A32EE">
      <w:pPr>
        <w:pStyle w:val="BodyText"/>
        <w:overflowPunct/>
        <w:autoSpaceDE/>
        <w:autoSpaceDN/>
        <w:adjustRightInd/>
        <w:jc w:val="lowKashida"/>
        <w:textAlignment w:val="auto"/>
        <w:rPr>
          <w:sz w:val="10"/>
          <w:szCs w:val="10"/>
        </w:rPr>
      </w:pPr>
    </w:p>
    <w:p w:rsidR="00841227" w:rsidRDefault="00841227">
      <w:pPr>
        <w:overflowPunct/>
        <w:autoSpaceDE/>
        <w:autoSpaceDN/>
        <w:adjustRightInd/>
        <w:textAlignment w:val="auto"/>
        <w:rPr>
          <w:rFonts w:ascii="Arial" w:hAnsi="Arial" w:cs="Arial"/>
          <w:b/>
          <w:bCs/>
          <w:noProof/>
          <w:sz w:val="18"/>
          <w:szCs w:val="18"/>
        </w:rPr>
      </w:pPr>
      <w:r>
        <w:rPr>
          <w:rFonts w:ascii="Arial" w:hAnsi="Arial" w:cs="Arial"/>
          <w:b/>
          <w:bCs/>
          <w:sz w:val="18"/>
          <w:szCs w:val="18"/>
        </w:rPr>
        <w:br w:type="page"/>
      </w:r>
    </w:p>
    <w:p w:rsidR="001A32EE" w:rsidRPr="00632B94" w:rsidRDefault="001A32EE" w:rsidP="001A32EE">
      <w:pPr>
        <w:pStyle w:val="ListParagraph"/>
        <w:bidi w:val="0"/>
        <w:ind w:left="0"/>
        <w:jc w:val="center"/>
        <w:rPr>
          <w:rFonts w:ascii="Arial" w:hAnsi="Arial" w:cs="Arial"/>
          <w:b/>
          <w:bCs/>
          <w:sz w:val="18"/>
          <w:szCs w:val="18"/>
        </w:rPr>
      </w:pPr>
      <w:r w:rsidRPr="008861CB">
        <w:rPr>
          <w:rFonts w:ascii="Arial" w:hAnsi="Arial" w:cs="Arial"/>
          <w:b/>
          <w:bCs/>
          <w:sz w:val="18"/>
          <w:szCs w:val="18"/>
        </w:rPr>
        <w:lastRenderedPageBreak/>
        <w:t>Percentage of the Disabled in Palestine by Sex and Age</w:t>
      </w:r>
      <w:r w:rsidRPr="008861CB">
        <w:rPr>
          <w:rFonts w:ascii="Arial" w:hAnsi="Arial" w:cs="Arial"/>
          <w:b/>
          <w:bCs/>
          <w:sz w:val="16"/>
          <w:szCs w:val="16"/>
        </w:rPr>
        <w:t xml:space="preserve"> </w:t>
      </w:r>
      <w:r w:rsidRPr="008861CB">
        <w:rPr>
          <w:rFonts w:ascii="Arial" w:hAnsi="Arial" w:cs="Arial"/>
          <w:b/>
          <w:bCs/>
          <w:sz w:val="18"/>
          <w:szCs w:val="18"/>
        </w:rPr>
        <w:t>Group, 2017</w:t>
      </w:r>
    </w:p>
    <w:p w:rsidR="001A32EE" w:rsidRPr="00632B94" w:rsidRDefault="001A32EE" w:rsidP="001A32EE">
      <w:pPr>
        <w:pStyle w:val="ListParagraph"/>
        <w:bidi w:val="0"/>
        <w:ind w:left="0"/>
        <w:jc w:val="center"/>
        <w:rPr>
          <w:rFonts w:ascii="Arial" w:hAnsi="Arial" w:cs="Arial"/>
          <w:b/>
          <w:bCs/>
          <w:sz w:val="10"/>
          <w:szCs w:val="10"/>
        </w:rPr>
      </w:pPr>
    </w:p>
    <w:p w:rsidR="001A32EE" w:rsidRPr="00632B94" w:rsidRDefault="001A32EE" w:rsidP="001A32EE">
      <w:pPr>
        <w:pStyle w:val="ListParagraph"/>
        <w:tabs>
          <w:tab w:val="left" w:pos="7087"/>
        </w:tabs>
        <w:bidi w:val="0"/>
        <w:ind w:left="0"/>
        <w:jc w:val="center"/>
        <w:rPr>
          <w:rFonts w:ascii="Simplified Arabic" w:hAnsi="Simplified Arabic"/>
          <w:b/>
          <w:bCs/>
          <w:noProof w:val="0"/>
          <w:sz w:val="18"/>
          <w:szCs w:val="18"/>
          <w:rtl/>
        </w:rPr>
      </w:pPr>
      <w:r w:rsidRPr="00632B94">
        <w:rPr>
          <w:bdr w:val="single" w:sz="4" w:space="0" w:color="auto"/>
        </w:rPr>
        <w:drawing>
          <wp:inline distT="0" distB="0" distL="0" distR="0">
            <wp:extent cx="4197350" cy="1517650"/>
            <wp:effectExtent l="0" t="0" r="0" b="0"/>
            <wp:docPr id="3" name="مخطط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A2705" w:rsidRDefault="003A2705" w:rsidP="0078627E">
      <w:pPr>
        <w:pStyle w:val="ListParagraph"/>
        <w:bidi w:val="0"/>
        <w:ind w:left="0"/>
        <w:jc w:val="lowKashida"/>
        <w:rPr>
          <w:rFonts w:cs="Times New Roman"/>
          <w:b/>
          <w:bCs/>
          <w:i/>
          <w:iCs/>
          <w:sz w:val="18"/>
          <w:szCs w:val="18"/>
          <w:u w:val="single"/>
        </w:rPr>
      </w:pPr>
    </w:p>
    <w:p w:rsidR="00D27191" w:rsidRPr="00325F4F" w:rsidRDefault="00D27191"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health, see the tables in chapter 1.</w:t>
      </w:r>
      <w:r w:rsidR="00BB3F92" w:rsidRPr="00325F4F">
        <w:rPr>
          <w:rFonts w:cs="Times New Roman"/>
          <w:b/>
          <w:bCs/>
          <w:i/>
          <w:iCs/>
          <w:sz w:val="18"/>
          <w:szCs w:val="18"/>
          <w:u w:val="single"/>
        </w:rPr>
        <w:t>4</w:t>
      </w:r>
      <w:r w:rsidRPr="00325F4F">
        <w:rPr>
          <w:rFonts w:cs="Times New Roman"/>
          <w:b/>
          <w:bCs/>
          <w:i/>
          <w:iCs/>
          <w:sz w:val="18"/>
          <w:szCs w:val="18"/>
          <w:u w:val="single"/>
        </w:rPr>
        <w:t xml:space="preserve"> of the Arabic section, pages</w:t>
      </w:r>
      <w:r w:rsidRPr="00325F4F">
        <w:rPr>
          <w:rFonts w:cs="Times New Roman"/>
          <w:b/>
          <w:bCs/>
          <w:i/>
          <w:iCs/>
          <w:sz w:val="18"/>
          <w:szCs w:val="18"/>
          <w:u w:val="single"/>
          <w:rtl/>
        </w:rPr>
        <w:t xml:space="preserve"> </w:t>
      </w:r>
      <w:r w:rsidR="0015308F">
        <w:rPr>
          <w:rFonts w:cs="Times New Roman"/>
          <w:b/>
          <w:bCs/>
          <w:i/>
          <w:iCs/>
          <w:sz w:val="18"/>
          <w:szCs w:val="18"/>
          <w:u w:val="single"/>
        </w:rPr>
        <w:t>59</w:t>
      </w:r>
      <w:r w:rsidRPr="00325F4F">
        <w:rPr>
          <w:rFonts w:cs="Times New Roman"/>
          <w:b/>
          <w:bCs/>
          <w:i/>
          <w:iCs/>
          <w:sz w:val="18"/>
          <w:szCs w:val="18"/>
          <w:u w:val="single"/>
        </w:rPr>
        <w:t>-</w:t>
      </w:r>
      <w:r w:rsidR="0015308F">
        <w:rPr>
          <w:rFonts w:cs="Times New Roman"/>
          <w:b/>
          <w:bCs/>
          <w:i/>
          <w:iCs/>
          <w:sz w:val="18"/>
          <w:szCs w:val="18"/>
          <w:u w:val="single"/>
        </w:rPr>
        <w:t>64</w:t>
      </w:r>
      <w:r w:rsidRPr="00325F4F">
        <w:rPr>
          <w:rFonts w:cs="Times New Roman"/>
          <w:b/>
          <w:bCs/>
          <w:i/>
          <w:iCs/>
          <w:sz w:val="18"/>
          <w:szCs w:val="18"/>
          <w:u w:val="single"/>
        </w:rPr>
        <w:t>.</w:t>
      </w:r>
    </w:p>
    <w:p w:rsidR="00D27191" w:rsidRPr="00325F4F" w:rsidRDefault="007E5F1A" w:rsidP="00D27191">
      <w:pPr>
        <w:pStyle w:val="ListParagraph"/>
        <w:bidi w:val="0"/>
        <w:ind w:left="0"/>
        <w:jc w:val="lowKashida"/>
        <w:rPr>
          <w:rFonts w:cs="Times New Roman"/>
          <w:i/>
          <w:iCs/>
          <w:sz w:val="20"/>
          <w:u w:val="single"/>
        </w:rPr>
      </w:pPr>
      <w:r w:rsidRPr="007E5F1A">
        <w:rPr>
          <w:rFonts w:cs="Traditional Arabic"/>
          <w:lang w:eastAsia="zh-TW"/>
        </w:rPr>
        <w:pict>
          <v:shapetype id="_x0000_t202" coordsize="21600,21600" o:spt="202" path="m,l,21600r21600,l21600,xe">
            <v:stroke joinstyle="miter"/>
            <v:path gradientshapeok="t" o:connecttype="rect"/>
          </v:shapetype>
          <v:shape id="_x0000_s1030" type="#_x0000_t202" style="position:absolute;left:0;text-align:left;margin-left:146.55pt;margin-top:8.85pt;width:207.85pt;height:21pt;z-index:251722752;mso-height-percent:200;mso-position-horizontal-relative:text;mso-position-vertical-relative:text;mso-height-percent:200;mso-width-relative:margin;mso-height-relative:margin" stroked="f">
            <v:textbox style="mso-fit-shape-to-text:t">
              <w:txbxContent>
                <w:p w:rsidR="008832A6" w:rsidRPr="008832A6" w:rsidRDefault="008832A6" w:rsidP="008832A6">
                  <w:pPr>
                    <w:pStyle w:val="Title"/>
                    <w:tabs>
                      <w:tab w:val="left" w:pos="1273"/>
                      <w:tab w:val="center" w:pos="3685"/>
                    </w:tabs>
                    <w:bidi w:val="0"/>
                    <w:rPr>
                      <w:sz w:val="12"/>
                      <w:szCs w:val="12"/>
                    </w:rPr>
                  </w:pPr>
                  <w:r w:rsidRPr="008832A6">
                    <w:rPr>
                      <w:rFonts w:ascii="Arial" w:hAnsi="Arial" w:cs="Arial"/>
                      <w:sz w:val="12"/>
                      <w:szCs w:val="12"/>
                    </w:rPr>
                    <w:t>Average Housing Density of Households in Palestine by Governorate, 2017</w:t>
                  </w:r>
                </w:p>
              </w:txbxContent>
            </v:textbox>
          </v:shape>
        </w:pict>
      </w:r>
      <w:r w:rsidR="005075F0">
        <w:rPr>
          <w:rFonts w:cs="Traditional Arabic"/>
        </w:rPr>
        <w:drawing>
          <wp:anchor distT="0" distB="0" distL="114300" distR="114300" simplePos="0" relativeHeight="251652095" behindDoc="0" locked="0" layoutInCell="1" allowOverlap="1">
            <wp:simplePos x="0" y="0"/>
            <wp:positionH relativeFrom="column">
              <wp:posOffset>1777365</wp:posOffset>
            </wp:positionH>
            <wp:positionV relativeFrom="paragraph">
              <wp:posOffset>57785</wp:posOffset>
            </wp:positionV>
            <wp:extent cx="2785110" cy="3487420"/>
            <wp:effectExtent l="19050" t="19050" r="15240" b="17780"/>
            <wp:wrapSquare wrapText="bothSides"/>
            <wp:docPr id="6" name="Picture 4" descr="G:\كتاب فلسطين السنوي 2015 غدير\Housing_density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سنوي 2015 غدير\Housing_density_En.png"/>
                    <pic:cNvPicPr>
                      <a:picLocks noChangeAspect="1" noChangeArrowheads="1"/>
                    </pic:cNvPicPr>
                  </pic:nvPicPr>
                  <pic:blipFill>
                    <a:blip r:embed="rId12"/>
                    <a:srcRect l="9973" t="12522" r="9748" b="18166"/>
                    <a:stretch>
                      <a:fillRect/>
                    </a:stretch>
                  </pic:blipFill>
                  <pic:spPr bwMode="auto">
                    <a:xfrm>
                      <a:off x="0" y="0"/>
                      <a:ext cx="2785110" cy="3487420"/>
                    </a:xfrm>
                    <a:prstGeom prst="rect">
                      <a:avLst/>
                    </a:prstGeom>
                    <a:noFill/>
                    <a:ln w="9525">
                      <a:solidFill>
                        <a:schemeClr val="tx1"/>
                      </a:solidFill>
                      <a:miter lim="800000"/>
                      <a:headEnd/>
                      <a:tailEnd/>
                    </a:ln>
                  </pic:spPr>
                </pic:pic>
              </a:graphicData>
            </a:graphic>
          </wp:anchor>
        </w:drawing>
      </w:r>
    </w:p>
    <w:p w:rsidR="00084AEE" w:rsidRPr="00325F4F" w:rsidRDefault="00084AEE" w:rsidP="00332048">
      <w:pPr>
        <w:pStyle w:val="Title"/>
        <w:numPr>
          <w:ilvl w:val="0"/>
          <w:numId w:val="19"/>
        </w:numPr>
        <w:bidi w:val="0"/>
        <w:ind w:left="252" w:hanging="252"/>
        <w:jc w:val="left"/>
        <w:rPr>
          <w:rFonts w:cs="Traditional Arabic"/>
          <w:sz w:val="20"/>
          <w:szCs w:val="20"/>
        </w:rPr>
      </w:pPr>
      <w:r w:rsidRPr="00325F4F">
        <w:rPr>
          <w:rFonts w:cs="Traditional Arabic"/>
          <w:sz w:val="20"/>
          <w:szCs w:val="20"/>
        </w:rPr>
        <w:t>Housing and Housing Conditions</w:t>
      </w:r>
    </w:p>
    <w:p w:rsidR="00084AEE" w:rsidRPr="00325F4F" w:rsidRDefault="00084AEE" w:rsidP="004F27E2">
      <w:pPr>
        <w:pStyle w:val="BodyText2"/>
        <w:numPr>
          <w:ilvl w:val="0"/>
          <w:numId w:val="2"/>
        </w:numPr>
        <w:overflowPunct/>
        <w:autoSpaceDE/>
        <w:autoSpaceDN/>
        <w:adjustRightInd/>
        <w:spacing w:after="120"/>
        <w:ind w:left="266" w:hanging="266"/>
        <w:textAlignment w:val="auto"/>
        <w:rPr>
          <w:noProof/>
        </w:rPr>
      </w:pPr>
      <w:r w:rsidRPr="00325F4F">
        <w:rPr>
          <w:noProof/>
        </w:rPr>
        <w:t xml:space="preserve">In </w:t>
      </w:r>
      <w:r w:rsidR="004F27E2">
        <w:rPr>
          <w:noProof/>
        </w:rPr>
        <w:t>2017</w:t>
      </w:r>
      <w:r w:rsidRPr="00325F4F">
        <w:rPr>
          <w:noProof/>
        </w:rPr>
        <w:t xml:space="preserve">, </w:t>
      </w:r>
      <w:r w:rsidR="00D86CF8" w:rsidRPr="00325F4F">
        <w:rPr>
          <w:noProof/>
        </w:rPr>
        <w:t xml:space="preserve">the </w:t>
      </w:r>
      <w:r w:rsidRPr="00325F4F">
        <w:rPr>
          <w:noProof/>
        </w:rPr>
        <w:t xml:space="preserve">average housing density in Palestine was </w:t>
      </w:r>
      <w:r w:rsidRPr="00325F4F">
        <w:rPr>
          <w:rFonts w:hint="cs"/>
          <w:noProof/>
          <w:rtl/>
        </w:rPr>
        <w:t>1.4</w:t>
      </w:r>
      <w:r w:rsidRPr="00325F4F">
        <w:rPr>
          <w:noProof/>
        </w:rPr>
        <w:t xml:space="preserve"> persons per room. The average for the West Bank was 1.</w:t>
      </w:r>
      <w:r w:rsidRPr="00325F4F">
        <w:rPr>
          <w:rFonts w:hint="cs"/>
          <w:noProof/>
          <w:rtl/>
        </w:rPr>
        <w:t>3</w:t>
      </w:r>
      <w:r w:rsidRPr="00325F4F">
        <w:rPr>
          <w:noProof/>
        </w:rPr>
        <w:t xml:space="preserve"> compared with </w:t>
      </w:r>
      <w:r w:rsidRPr="00325F4F">
        <w:rPr>
          <w:rFonts w:hint="cs"/>
          <w:noProof/>
          <w:rtl/>
        </w:rPr>
        <w:t>1.6</w:t>
      </w:r>
      <w:r w:rsidRPr="00325F4F">
        <w:rPr>
          <w:noProof/>
        </w:rPr>
        <w:t xml:space="preserve"> persons per room in Gaza Strip.</w:t>
      </w:r>
    </w:p>
    <w:p w:rsidR="00084AEE" w:rsidRPr="00325F4F" w:rsidRDefault="0015308F" w:rsidP="00332048">
      <w:pPr>
        <w:pStyle w:val="BodyText2"/>
        <w:numPr>
          <w:ilvl w:val="0"/>
          <w:numId w:val="2"/>
        </w:numPr>
        <w:overflowPunct/>
        <w:autoSpaceDE/>
        <w:autoSpaceDN/>
        <w:adjustRightInd/>
        <w:spacing w:after="120"/>
        <w:ind w:left="266" w:hanging="266"/>
        <w:textAlignment w:val="auto"/>
        <w:rPr>
          <w:noProof/>
        </w:rPr>
      </w:pPr>
      <w:r>
        <w:rPr>
          <w:noProof/>
        </w:rPr>
        <w:t>In 2017,</w:t>
      </w:r>
      <w:r w:rsidR="00084AEE" w:rsidRPr="00325F4F">
        <w:rPr>
          <w:noProof/>
        </w:rPr>
        <w:t xml:space="preserve"> 1.1% of households in Palestine lived in a villa, </w:t>
      </w:r>
      <w:r w:rsidR="00084AEE" w:rsidRPr="00325F4F">
        <w:rPr>
          <w:rFonts w:hint="cs"/>
          <w:noProof/>
          <w:rtl/>
        </w:rPr>
        <w:t>35.</w:t>
      </w:r>
      <w:r w:rsidR="00084AEE" w:rsidRPr="00325F4F">
        <w:rPr>
          <w:noProof/>
        </w:rPr>
        <w:t xml:space="preserve">3% lived in a house, and </w:t>
      </w:r>
      <w:r w:rsidR="00084AEE" w:rsidRPr="00325F4F">
        <w:rPr>
          <w:rFonts w:hint="cs"/>
          <w:noProof/>
          <w:rtl/>
        </w:rPr>
        <w:t>6</w:t>
      </w:r>
      <w:r w:rsidR="00084AEE" w:rsidRPr="00325F4F">
        <w:rPr>
          <w:noProof/>
        </w:rPr>
        <w:t>1.5 % lived in an apartment.</w:t>
      </w:r>
    </w:p>
    <w:p w:rsidR="00B01406" w:rsidRPr="00325F4F" w:rsidRDefault="00B01406" w:rsidP="00B01406">
      <w:pPr>
        <w:pStyle w:val="ListParagraph"/>
        <w:bidi w:val="0"/>
        <w:ind w:left="0"/>
        <w:jc w:val="lowKashida"/>
        <w:rPr>
          <w:rFonts w:cs="Times New Roman"/>
          <w:b/>
          <w:bCs/>
          <w:i/>
          <w:iCs/>
          <w:sz w:val="18"/>
          <w:szCs w:val="18"/>
          <w:u w:val="single"/>
        </w:rPr>
      </w:pPr>
    </w:p>
    <w:p w:rsidR="00084AEE" w:rsidRPr="00325F4F" w:rsidRDefault="00084AEE"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housing and housing conditions, see the tables in chapter 1.5 of the Arabic section, pages </w:t>
      </w:r>
      <w:r w:rsidR="0015308F">
        <w:rPr>
          <w:rFonts w:cs="Times New Roman"/>
          <w:b/>
          <w:bCs/>
          <w:i/>
          <w:iCs/>
          <w:sz w:val="18"/>
          <w:szCs w:val="18"/>
          <w:u w:val="single"/>
        </w:rPr>
        <w:t>65</w:t>
      </w:r>
      <w:r w:rsidRPr="00325F4F">
        <w:rPr>
          <w:rFonts w:cs="Times New Roman"/>
          <w:b/>
          <w:bCs/>
          <w:i/>
          <w:iCs/>
          <w:sz w:val="18"/>
          <w:szCs w:val="18"/>
          <w:u w:val="single"/>
        </w:rPr>
        <w:t>-</w:t>
      </w:r>
      <w:r w:rsidR="0015308F">
        <w:rPr>
          <w:rFonts w:cs="Times New Roman"/>
          <w:b/>
          <w:bCs/>
          <w:i/>
          <w:iCs/>
          <w:sz w:val="18"/>
          <w:szCs w:val="18"/>
          <w:u w:val="single"/>
        </w:rPr>
        <w:t>74</w:t>
      </w:r>
      <w:r w:rsidRPr="00325F4F">
        <w:rPr>
          <w:rFonts w:cs="Times New Roman"/>
          <w:b/>
          <w:bCs/>
          <w:i/>
          <w:iCs/>
          <w:sz w:val="18"/>
          <w:szCs w:val="18"/>
          <w:u w:val="single"/>
        </w:rPr>
        <w:t>.</w:t>
      </w:r>
    </w:p>
    <w:p w:rsidR="00456A8A" w:rsidRDefault="00456A8A">
      <w:pPr>
        <w:overflowPunct/>
        <w:autoSpaceDE/>
        <w:autoSpaceDN/>
        <w:adjustRightInd/>
        <w:textAlignment w:val="auto"/>
        <w:rPr>
          <w:rFonts w:cs="Traditional Arabic"/>
          <w:b/>
          <w:bCs/>
          <w:noProof/>
        </w:rPr>
      </w:pPr>
      <w:r>
        <w:rPr>
          <w:rFonts w:cs="Traditional Arabic"/>
        </w:rPr>
        <w:br w:type="page"/>
      </w:r>
    </w:p>
    <w:p w:rsidR="00CA6806" w:rsidRPr="00325F4F" w:rsidRDefault="00CA6806" w:rsidP="00CA6806">
      <w:pPr>
        <w:pStyle w:val="Title"/>
        <w:numPr>
          <w:ilvl w:val="0"/>
          <w:numId w:val="19"/>
        </w:numPr>
        <w:bidi w:val="0"/>
        <w:ind w:left="252" w:hanging="252"/>
        <w:jc w:val="left"/>
        <w:rPr>
          <w:rFonts w:cs="Traditional Arabic"/>
          <w:sz w:val="20"/>
          <w:szCs w:val="20"/>
        </w:rPr>
      </w:pPr>
      <w:r w:rsidRPr="00325F4F">
        <w:rPr>
          <w:rFonts w:cs="Traditional Arabic"/>
          <w:sz w:val="20"/>
          <w:szCs w:val="20"/>
        </w:rPr>
        <w:lastRenderedPageBreak/>
        <w:t>Labo</w:t>
      </w:r>
      <w:r w:rsidR="00575A5D">
        <w:rPr>
          <w:rFonts w:cs="Traditional Arabic"/>
          <w:sz w:val="20"/>
          <w:szCs w:val="20"/>
        </w:rPr>
        <w:t>u</w:t>
      </w:r>
      <w:r w:rsidRPr="00325F4F">
        <w:rPr>
          <w:rFonts w:cs="Traditional Arabic"/>
          <w:sz w:val="20"/>
          <w:szCs w:val="20"/>
        </w:rPr>
        <w:t xml:space="preserve">r and Wages                               </w:t>
      </w:r>
    </w:p>
    <w:p w:rsidR="00CA6806" w:rsidRPr="00325F4F" w:rsidRDefault="007E5F1A" w:rsidP="00CA6806">
      <w:pPr>
        <w:pStyle w:val="BodyText2"/>
        <w:numPr>
          <w:ilvl w:val="0"/>
          <w:numId w:val="2"/>
        </w:numPr>
        <w:overflowPunct/>
        <w:autoSpaceDE/>
        <w:autoSpaceDN/>
        <w:adjustRightInd/>
        <w:spacing w:after="120"/>
        <w:ind w:left="266" w:hanging="266"/>
        <w:textAlignment w:val="auto"/>
        <w:rPr>
          <w:noProof/>
        </w:rPr>
      </w:pPr>
      <w:r>
        <w:rPr>
          <w:noProof/>
          <w:lang w:eastAsia="zh-TW"/>
        </w:rPr>
        <w:pict>
          <v:shape id="_x0000_s1031" type="#_x0000_t202" style="position:absolute;left:0;text-align:left;margin-left:133.75pt;margin-top:23.55pt;width:224.65pt;height:21pt;z-index:251724800;mso-height-percent:200;mso-position-horizontal-relative:text;mso-position-vertical-relative:text;mso-height-percent:200;mso-width-relative:margin;mso-height-relative:margin" stroked="f">
            <v:textbox style="mso-fit-shape-to-text:t">
              <w:txbxContent>
                <w:p w:rsidR="008832A6" w:rsidRPr="006B3024" w:rsidRDefault="008832A6" w:rsidP="008832A6">
                  <w:pPr>
                    <w:jc w:val="center"/>
                    <w:rPr>
                      <w:rFonts w:ascii="Arial" w:hAnsi="Arial" w:cs="Arial"/>
                      <w:b/>
                      <w:bCs/>
                      <w:sz w:val="12"/>
                      <w:szCs w:val="12"/>
                    </w:rPr>
                  </w:pPr>
                  <w:r w:rsidRPr="006B3024">
                    <w:rPr>
                      <w:rFonts w:ascii="Arial" w:hAnsi="Arial" w:cs="Arial"/>
                      <w:b/>
                      <w:bCs/>
                      <w:sz w:val="12"/>
                      <w:szCs w:val="12"/>
                    </w:rPr>
                    <w:t>Unemployment Rate between Individuals (15 Years and Above) in Palestine by Governorate, 2018</w:t>
                  </w:r>
                </w:p>
              </w:txbxContent>
            </v:textbox>
          </v:shape>
        </w:pict>
      </w:r>
      <w:r w:rsidR="005075F0">
        <w:rPr>
          <w:noProof/>
        </w:rPr>
        <w:drawing>
          <wp:anchor distT="0" distB="0" distL="114300" distR="114300" simplePos="0" relativeHeight="251714560" behindDoc="0" locked="0" layoutInCell="1" allowOverlap="1">
            <wp:simplePos x="0" y="0"/>
            <wp:positionH relativeFrom="column">
              <wp:posOffset>1677670</wp:posOffset>
            </wp:positionH>
            <wp:positionV relativeFrom="paragraph">
              <wp:posOffset>252095</wp:posOffset>
            </wp:positionV>
            <wp:extent cx="2881630" cy="3611880"/>
            <wp:effectExtent l="19050" t="19050" r="13970" b="26670"/>
            <wp:wrapSquare wrapText="bothSides"/>
            <wp:docPr id="22" name="Picture 12" descr="G:\كتاب فلسطين الاحصائي السنوي 2019\الخرائط\Unemployment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G:\كتاب فلسطين الاحصائي السنوي 2019\الخرائط\Unemployment_2019_En.png"/>
                    <pic:cNvPicPr>
                      <a:picLocks noChangeAspect="1" noChangeArrowheads="1"/>
                    </pic:cNvPicPr>
                  </pic:nvPicPr>
                  <pic:blipFill>
                    <a:blip r:embed="rId13" cstate="print"/>
                    <a:srcRect l="8442" t="12656" r="8942" b="17234"/>
                    <a:stretch>
                      <a:fillRect/>
                    </a:stretch>
                  </pic:blipFill>
                  <pic:spPr bwMode="auto">
                    <a:xfrm>
                      <a:off x="0" y="0"/>
                      <a:ext cx="2881630" cy="3611880"/>
                    </a:xfrm>
                    <a:prstGeom prst="rect">
                      <a:avLst/>
                    </a:prstGeom>
                    <a:noFill/>
                    <a:ln w="9525">
                      <a:solidFill>
                        <a:schemeClr val="tx1"/>
                      </a:solidFill>
                      <a:miter lim="800000"/>
                      <a:headEnd/>
                      <a:tailEnd/>
                    </a:ln>
                  </pic:spPr>
                </pic:pic>
              </a:graphicData>
            </a:graphic>
          </wp:anchor>
        </w:drawing>
      </w:r>
      <w:r w:rsidR="00CA6806" w:rsidRPr="00325F4F">
        <w:rPr>
          <w:noProof/>
        </w:rPr>
        <w:t>In 2018, the labo</w:t>
      </w:r>
      <w:r w:rsidR="00575A5D">
        <w:rPr>
          <w:noProof/>
        </w:rPr>
        <w:t>u</w:t>
      </w:r>
      <w:r w:rsidR="00CA6806" w:rsidRPr="00325F4F">
        <w:rPr>
          <w:noProof/>
        </w:rPr>
        <w:t>r force participation rate in Palestine was 46.4%: 71.5% for males and 20.7% for females.</w:t>
      </w:r>
    </w:p>
    <w:p w:rsidR="00CA6806" w:rsidRPr="00325F4F" w:rsidRDefault="00CA6806" w:rsidP="00CA6806">
      <w:pPr>
        <w:pStyle w:val="BodyText2"/>
        <w:numPr>
          <w:ilvl w:val="0"/>
          <w:numId w:val="2"/>
        </w:numPr>
        <w:overflowPunct/>
        <w:autoSpaceDE/>
        <w:autoSpaceDN/>
        <w:adjustRightInd/>
        <w:spacing w:after="120"/>
        <w:ind w:left="266" w:hanging="266"/>
        <w:textAlignment w:val="auto"/>
        <w:rPr>
          <w:noProof/>
        </w:rPr>
      </w:pPr>
      <w:r w:rsidRPr="00325F4F">
        <w:rPr>
          <w:noProof/>
        </w:rPr>
        <w:t>In 2018, the unemployment rate was 30.8% in Palestine: 25.0% for males and 51.2% for females.</w:t>
      </w:r>
    </w:p>
    <w:p w:rsidR="00CA6806" w:rsidRPr="00325F4F" w:rsidRDefault="00CA6806" w:rsidP="00CA6806">
      <w:pPr>
        <w:pStyle w:val="BodyText2"/>
        <w:numPr>
          <w:ilvl w:val="0"/>
          <w:numId w:val="2"/>
        </w:numPr>
        <w:overflowPunct/>
        <w:autoSpaceDE/>
        <w:autoSpaceDN/>
        <w:adjustRightInd/>
        <w:spacing w:after="120"/>
        <w:ind w:left="266" w:hanging="266"/>
        <w:textAlignment w:val="auto"/>
        <w:rPr>
          <w:noProof/>
        </w:rPr>
      </w:pPr>
      <w:r w:rsidRPr="00325F4F">
        <w:rPr>
          <w:noProof/>
        </w:rPr>
        <w:t xml:space="preserve">Most workers (69.7%) in Palestine, in </w:t>
      </w:r>
      <w:r w:rsidRPr="00325F4F">
        <w:rPr>
          <w:rFonts w:hint="cs"/>
          <w:noProof/>
          <w:rtl/>
        </w:rPr>
        <w:t>2018</w:t>
      </w:r>
      <w:r w:rsidRPr="00325F4F">
        <w:rPr>
          <w:noProof/>
        </w:rPr>
        <w:t xml:space="preserve">, were waged employees: 89.3% of workers </w:t>
      </w:r>
      <w:r w:rsidR="00573C4D">
        <w:rPr>
          <w:noProof/>
        </w:rPr>
        <w:t>work</w:t>
      </w:r>
      <w:r w:rsidR="00054FF8">
        <w:rPr>
          <w:noProof/>
        </w:rPr>
        <w:t xml:space="preserve">ing </w:t>
      </w:r>
      <w:r w:rsidRPr="00325F4F">
        <w:rPr>
          <w:noProof/>
        </w:rPr>
        <w:t>in Israel and Israeli settlements are waged employees.</w:t>
      </w:r>
    </w:p>
    <w:p w:rsidR="00CA6806" w:rsidRPr="00325F4F" w:rsidRDefault="00CA6806" w:rsidP="00CA6806">
      <w:pPr>
        <w:pStyle w:val="BodyText2"/>
        <w:numPr>
          <w:ilvl w:val="0"/>
          <w:numId w:val="2"/>
        </w:numPr>
        <w:overflowPunct/>
        <w:autoSpaceDE/>
        <w:autoSpaceDN/>
        <w:adjustRightInd/>
        <w:spacing w:after="120"/>
        <w:ind w:left="266" w:hanging="266"/>
        <w:textAlignment w:val="auto"/>
        <w:rPr>
          <w:noProof/>
        </w:rPr>
      </w:pPr>
      <w:r w:rsidRPr="00325F4F">
        <w:rPr>
          <w:noProof/>
        </w:rPr>
        <w:t>2.9% of children in Palestine were in employment: 5.5% males and 0.2% females in 2018.</w:t>
      </w: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CA6806" w:rsidRPr="00325F4F" w:rsidRDefault="00CA6806" w:rsidP="00CA6806">
      <w:pPr>
        <w:jc w:val="center"/>
        <w:rPr>
          <w:rFonts w:ascii="Arial" w:hAnsi="Arial" w:cs="Arial"/>
          <w:b/>
          <w:bCs/>
          <w:snapToGrid w:val="0"/>
          <w:sz w:val="18"/>
          <w:szCs w:val="18"/>
        </w:rPr>
      </w:pPr>
    </w:p>
    <w:p w:rsidR="00456A8A" w:rsidRDefault="00456A8A" w:rsidP="00CA6806">
      <w:pPr>
        <w:jc w:val="center"/>
        <w:rPr>
          <w:rFonts w:ascii="Arial" w:hAnsi="Arial" w:cs="Arial"/>
          <w:b/>
          <w:bCs/>
          <w:snapToGrid w:val="0"/>
          <w:sz w:val="18"/>
          <w:szCs w:val="18"/>
        </w:rPr>
      </w:pPr>
    </w:p>
    <w:p w:rsidR="00CA6806" w:rsidRPr="00325F4F" w:rsidRDefault="00CA6806" w:rsidP="008832A6">
      <w:pPr>
        <w:jc w:val="center"/>
        <w:rPr>
          <w:rFonts w:ascii="Arial" w:hAnsi="Arial" w:cs="Arial"/>
          <w:b/>
          <w:bCs/>
          <w:snapToGrid w:val="0"/>
          <w:sz w:val="18"/>
          <w:szCs w:val="18"/>
        </w:rPr>
      </w:pPr>
      <w:r w:rsidRPr="00325F4F">
        <w:rPr>
          <w:rFonts w:ascii="Arial" w:hAnsi="Arial" w:cs="Arial"/>
          <w:b/>
          <w:bCs/>
          <w:snapToGrid w:val="0"/>
          <w:sz w:val="18"/>
          <w:szCs w:val="18"/>
        </w:rPr>
        <w:t xml:space="preserve">Percentage of </w:t>
      </w:r>
      <w:r w:rsidR="008832A6">
        <w:rPr>
          <w:rFonts w:ascii="Arial" w:hAnsi="Arial" w:cs="Arial"/>
          <w:b/>
          <w:bCs/>
          <w:snapToGrid w:val="0"/>
          <w:sz w:val="18"/>
          <w:szCs w:val="18"/>
        </w:rPr>
        <w:t>Individuals</w:t>
      </w:r>
      <w:r w:rsidR="008832A6" w:rsidRPr="00D00330">
        <w:rPr>
          <w:rFonts w:ascii="Arial" w:hAnsi="Arial" w:cs="Arial"/>
          <w:b/>
          <w:bCs/>
          <w:snapToGrid w:val="0"/>
          <w:sz w:val="18"/>
          <w:szCs w:val="18"/>
        </w:rPr>
        <w:t xml:space="preserve"> </w:t>
      </w:r>
      <w:r w:rsidRPr="00325F4F">
        <w:rPr>
          <w:rFonts w:ascii="Arial" w:hAnsi="Arial" w:cs="Arial"/>
          <w:b/>
          <w:bCs/>
          <w:snapToGrid w:val="0"/>
          <w:sz w:val="18"/>
          <w:szCs w:val="18"/>
        </w:rPr>
        <w:t xml:space="preserve">(15 Years and Above) in Palestine by </w:t>
      </w:r>
      <w:proofErr w:type="spellStart"/>
      <w:r w:rsidRPr="00325F4F">
        <w:rPr>
          <w:rFonts w:ascii="Arial" w:hAnsi="Arial" w:cs="Arial"/>
          <w:b/>
          <w:bCs/>
          <w:snapToGrid w:val="0"/>
          <w:sz w:val="18"/>
          <w:szCs w:val="18"/>
        </w:rPr>
        <w:t>Labo</w:t>
      </w:r>
      <w:r w:rsidR="00575A5D">
        <w:rPr>
          <w:rFonts w:ascii="Arial" w:hAnsi="Arial" w:cs="Arial"/>
          <w:b/>
          <w:bCs/>
          <w:snapToGrid w:val="0"/>
          <w:sz w:val="18"/>
          <w:szCs w:val="18"/>
        </w:rPr>
        <w:t>u</w:t>
      </w:r>
      <w:r w:rsidRPr="00325F4F">
        <w:rPr>
          <w:rFonts w:ascii="Arial" w:hAnsi="Arial" w:cs="Arial"/>
          <w:b/>
          <w:bCs/>
          <w:snapToGrid w:val="0"/>
          <w:sz w:val="18"/>
          <w:szCs w:val="18"/>
        </w:rPr>
        <w:t>r</w:t>
      </w:r>
      <w:proofErr w:type="spellEnd"/>
      <w:r w:rsidRPr="00325F4F">
        <w:rPr>
          <w:rFonts w:ascii="Arial" w:hAnsi="Arial" w:cs="Arial"/>
          <w:b/>
          <w:bCs/>
          <w:snapToGrid w:val="0"/>
          <w:sz w:val="18"/>
          <w:szCs w:val="18"/>
        </w:rPr>
        <w:t xml:space="preserve"> Force Status and Age Groups, 2018</w:t>
      </w:r>
    </w:p>
    <w:p w:rsidR="00CA6806" w:rsidRPr="00325F4F" w:rsidRDefault="00CA6806" w:rsidP="00CA6806">
      <w:pPr>
        <w:jc w:val="center"/>
        <w:rPr>
          <w:rFonts w:ascii="Arial" w:hAnsi="Arial" w:cs="Arial"/>
          <w:b/>
          <w:bCs/>
          <w:snapToGrid w:val="0"/>
          <w:sz w:val="10"/>
          <w:szCs w:val="10"/>
        </w:rPr>
      </w:pPr>
    </w:p>
    <w:p w:rsidR="00CA6806" w:rsidRPr="00325F4F" w:rsidRDefault="00CA6806" w:rsidP="00CA6806">
      <w:pPr>
        <w:jc w:val="lowKashida"/>
        <w:rPr>
          <w:b/>
          <w:bCs/>
          <w:rtl/>
        </w:rPr>
      </w:pPr>
      <w:r w:rsidRPr="00325F4F">
        <w:rPr>
          <w:noProof/>
          <w:bdr w:val="single" w:sz="4" w:space="0" w:color="auto"/>
          <w:vertAlign w:val="subscript"/>
        </w:rPr>
        <w:drawing>
          <wp:inline distT="0" distB="0" distL="0" distR="0">
            <wp:extent cx="4315968" cy="1806854"/>
            <wp:effectExtent l="0" t="0" r="0" b="0"/>
            <wp:docPr id="1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84AEE" w:rsidRPr="00325F4F" w:rsidRDefault="00084AEE" w:rsidP="002C5122">
      <w:pPr>
        <w:pStyle w:val="ListParagraph"/>
        <w:bidi w:val="0"/>
        <w:ind w:left="0"/>
        <w:jc w:val="lowKashida"/>
        <w:rPr>
          <w:rFonts w:cs="Times New Roman"/>
          <w:i/>
          <w:iCs/>
          <w:sz w:val="20"/>
          <w:u w:val="single"/>
        </w:rPr>
      </w:pPr>
    </w:p>
    <w:p w:rsidR="002C5122" w:rsidRPr="00325F4F" w:rsidRDefault="002C5122"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labo</w:t>
      </w:r>
      <w:r w:rsidR="00575A5D">
        <w:rPr>
          <w:rFonts w:cs="Times New Roman"/>
          <w:b/>
          <w:bCs/>
          <w:i/>
          <w:iCs/>
          <w:sz w:val="18"/>
          <w:szCs w:val="18"/>
          <w:u w:val="single"/>
        </w:rPr>
        <w:t>u</w:t>
      </w:r>
      <w:r w:rsidRPr="00325F4F">
        <w:rPr>
          <w:rFonts w:cs="Times New Roman"/>
          <w:b/>
          <w:bCs/>
          <w:i/>
          <w:iCs/>
          <w:sz w:val="18"/>
          <w:szCs w:val="18"/>
          <w:u w:val="single"/>
        </w:rPr>
        <w:t>r and wages, see the tables in chapter 1.</w:t>
      </w:r>
      <w:r w:rsidR="00084AEE" w:rsidRPr="00325F4F">
        <w:rPr>
          <w:rFonts w:cs="Times New Roman"/>
          <w:b/>
          <w:bCs/>
          <w:i/>
          <w:iCs/>
          <w:sz w:val="18"/>
          <w:szCs w:val="18"/>
          <w:u w:val="single"/>
        </w:rPr>
        <w:t>6</w:t>
      </w:r>
      <w:r w:rsidRPr="00325F4F">
        <w:rPr>
          <w:rFonts w:cs="Times New Roman"/>
          <w:b/>
          <w:bCs/>
          <w:i/>
          <w:iCs/>
          <w:sz w:val="18"/>
          <w:szCs w:val="18"/>
          <w:u w:val="single"/>
        </w:rPr>
        <w:t xml:space="preserve"> of the Arabic section, pages</w:t>
      </w:r>
      <w:r w:rsidR="00DA079A" w:rsidRPr="00325F4F">
        <w:rPr>
          <w:rFonts w:cs="Times New Roman" w:hint="cs"/>
          <w:b/>
          <w:bCs/>
          <w:i/>
          <w:iCs/>
          <w:sz w:val="18"/>
          <w:szCs w:val="18"/>
          <w:u w:val="single"/>
          <w:rtl/>
        </w:rPr>
        <w:t xml:space="preserve">    </w:t>
      </w:r>
      <w:r w:rsidRPr="00325F4F">
        <w:rPr>
          <w:rFonts w:cs="Times New Roman"/>
          <w:b/>
          <w:bCs/>
          <w:i/>
          <w:iCs/>
          <w:sz w:val="18"/>
          <w:szCs w:val="18"/>
          <w:u w:val="single"/>
          <w:rtl/>
        </w:rPr>
        <w:t xml:space="preserve"> </w:t>
      </w:r>
      <w:r w:rsidR="0015308F">
        <w:rPr>
          <w:rFonts w:cs="Times New Roman"/>
          <w:b/>
          <w:bCs/>
          <w:i/>
          <w:iCs/>
          <w:sz w:val="18"/>
          <w:szCs w:val="18"/>
          <w:u w:val="single"/>
        </w:rPr>
        <w:t>75</w:t>
      </w:r>
      <w:r w:rsidRPr="00325F4F">
        <w:rPr>
          <w:rFonts w:cs="Times New Roman"/>
          <w:b/>
          <w:bCs/>
          <w:i/>
          <w:iCs/>
          <w:sz w:val="18"/>
          <w:szCs w:val="18"/>
          <w:u w:val="single"/>
        </w:rPr>
        <w:t>-</w:t>
      </w:r>
      <w:r w:rsidR="0015308F">
        <w:rPr>
          <w:rFonts w:cs="Times New Roman"/>
          <w:b/>
          <w:bCs/>
          <w:i/>
          <w:iCs/>
          <w:sz w:val="18"/>
          <w:szCs w:val="18"/>
          <w:u w:val="single"/>
        </w:rPr>
        <w:t>88</w:t>
      </w:r>
      <w:r w:rsidRPr="00325F4F">
        <w:rPr>
          <w:rFonts w:cs="Times New Roman"/>
          <w:b/>
          <w:bCs/>
          <w:i/>
          <w:iCs/>
          <w:sz w:val="18"/>
          <w:szCs w:val="18"/>
          <w:u w:val="single"/>
        </w:rPr>
        <w:t>.</w:t>
      </w:r>
    </w:p>
    <w:p w:rsidR="00B617D2" w:rsidRPr="00325F4F" w:rsidRDefault="00B617D2" w:rsidP="00B617D2">
      <w:pPr>
        <w:pStyle w:val="BodyText"/>
        <w:overflowPunct/>
        <w:autoSpaceDE/>
        <w:autoSpaceDN/>
        <w:adjustRightInd/>
        <w:ind w:left="142"/>
        <w:jc w:val="center"/>
        <w:textAlignment w:val="auto"/>
        <w:rPr>
          <w:rFonts w:cs="Times New Roman"/>
        </w:rPr>
      </w:pPr>
    </w:p>
    <w:p w:rsidR="00D27191" w:rsidRPr="00325F4F" w:rsidRDefault="00D27191" w:rsidP="006941CB">
      <w:pPr>
        <w:pStyle w:val="BodyText"/>
        <w:overflowPunct/>
        <w:autoSpaceDE/>
        <w:autoSpaceDN/>
        <w:adjustRightInd/>
        <w:ind w:left="142"/>
        <w:jc w:val="center"/>
        <w:textAlignment w:val="auto"/>
        <w:rPr>
          <w:rFonts w:cs="Times New Roman"/>
        </w:rPr>
      </w:pPr>
    </w:p>
    <w:p w:rsidR="00D27191" w:rsidRPr="00325F4F" w:rsidRDefault="00D27191" w:rsidP="00332048">
      <w:pPr>
        <w:pStyle w:val="Title"/>
        <w:numPr>
          <w:ilvl w:val="0"/>
          <w:numId w:val="19"/>
        </w:numPr>
        <w:bidi w:val="0"/>
        <w:ind w:left="252" w:hanging="252"/>
        <w:jc w:val="left"/>
        <w:rPr>
          <w:rFonts w:cs="Traditional Arabic"/>
          <w:sz w:val="20"/>
          <w:szCs w:val="20"/>
        </w:rPr>
      </w:pPr>
      <w:r w:rsidRPr="00325F4F">
        <w:rPr>
          <w:rFonts w:cs="Traditional Arabic"/>
          <w:sz w:val="20"/>
          <w:szCs w:val="20"/>
        </w:rPr>
        <w:t>Living Standards</w:t>
      </w:r>
    </w:p>
    <w:p w:rsidR="000B464B" w:rsidRPr="00325F4F" w:rsidRDefault="00054FF8" w:rsidP="00054FF8">
      <w:pPr>
        <w:pStyle w:val="BodyText2"/>
        <w:numPr>
          <w:ilvl w:val="0"/>
          <w:numId w:val="2"/>
        </w:numPr>
        <w:overflowPunct/>
        <w:autoSpaceDE/>
        <w:autoSpaceDN/>
        <w:adjustRightInd/>
        <w:spacing w:after="120"/>
        <w:ind w:left="266" w:hanging="266"/>
        <w:textAlignment w:val="auto"/>
        <w:rPr>
          <w:noProof/>
        </w:rPr>
      </w:pPr>
      <w:r>
        <w:rPr>
          <w:noProof/>
        </w:rPr>
        <w:t>C</w:t>
      </w:r>
      <w:r w:rsidRPr="00325F4F">
        <w:rPr>
          <w:noProof/>
        </w:rPr>
        <w:t xml:space="preserve">onsumption </w:t>
      </w:r>
      <w:r w:rsidR="000B464B" w:rsidRPr="00325F4F">
        <w:rPr>
          <w:noProof/>
        </w:rPr>
        <w:t xml:space="preserve">data indicated that the total </w:t>
      </w:r>
      <w:r>
        <w:rPr>
          <w:noProof/>
        </w:rPr>
        <w:t>p</w:t>
      </w:r>
      <w:r w:rsidRPr="00325F4F">
        <w:rPr>
          <w:noProof/>
        </w:rPr>
        <w:t xml:space="preserve">ercentage </w:t>
      </w:r>
      <w:r w:rsidR="000B464B" w:rsidRPr="00325F4F">
        <w:rPr>
          <w:noProof/>
        </w:rPr>
        <w:t xml:space="preserve">of poverty among Palestinian individuals in Palestine was 29.2% in </w:t>
      </w:r>
      <w:r w:rsidR="00A25933" w:rsidRPr="00325F4F">
        <w:rPr>
          <w:noProof/>
        </w:rPr>
        <w:t>2018</w:t>
      </w:r>
      <w:r w:rsidR="000B464B" w:rsidRPr="00325F4F">
        <w:rPr>
          <w:noProof/>
        </w:rPr>
        <w:t xml:space="preserve">: </w:t>
      </w:r>
      <w:r w:rsidR="000B464B" w:rsidRPr="00325F4F">
        <w:rPr>
          <w:rFonts w:hint="cs"/>
          <w:noProof/>
          <w:rtl/>
        </w:rPr>
        <w:t>13.9</w:t>
      </w:r>
      <w:r w:rsidR="000B464B" w:rsidRPr="00325F4F">
        <w:rPr>
          <w:noProof/>
        </w:rPr>
        <w:t xml:space="preserve">% in the West Bank and </w:t>
      </w:r>
      <w:r w:rsidR="000B464B" w:rsidRPr="00325F4F">
        <w:rPr>
          <w:rFonts w:hint="cs"/>
          <w:noProof/>
          <w:rtl/>
        </w:rPr>
        <w:t>53.0</w:t>
      </w:r>
      <w:r w:rsidR="000B464B" w:rsidRPr="00325F4F">
        <w:rPr>
          <w:noProof/>
        </w:rPr>
        <w:t>% in Gaza Strip.</w:t>
      </w:r>
    </w:p>
    <w:p w:rsidR="000B464B" w:rsidRPr="00325F4F" w:rsidRDefault="00054FF8" w:rsidP="00054FF8">
      <w:pPr>
        <w:pStyle w:val="BodyText2"/>
        <w:numPr>
          <w:ilvl w:val="0"/>
          <w:numId w:val="2"/>
        </w:numPr>
        <w:overflowPunct/>
        <w:autoSpaceDE/>
        <w:autoSpaceDN/>
        <w:adjustRightInd/>
        <w:spacing w:after="120"/>
        <w:ind w:left="266" w:hanging="266"/>
        <w:textAlignment w:val="auto"/>
        <w:rPr>
          <w:noProof/>
        </w:rPr>
      </w:pPr>
      <w:r>
        <w:rPr>
          <w:noProof/>
        </w:rPr>
        <w:t>C</w:t>
      </w:r>
      <w:r w:rsidRPr="00325F4F">
        <w:rPr>
          <w:noProof/>
        </w:rPr>
        <w:t xml:space="preserve">onsumption </w:t>
      </w:r>
      <w:r w:rsidR="000B464B" w:rsidRPr="00325F4F">
        <w:rPr>
          <w:noProof/>
        </w:rPr>
        <w:t xml:space="preserve">data indicated that </w:t>
      </w:r>
      <w:r w:rsidR="000B464B" w:rsidRPr="00325F4F">
        <w:rPr>
          <w:rFonts w:hint="cs"/>
          <w:noProof/>
          <w:rtl/>
        </w:rPr>
        <w:t>16.8</w:t>
      </w:r>
      <w:r w:rsidR="000B464B" w:rsidRPr="00325F4F">
        <w:rPr>
          <w:noProof/>
        </w:rPr>
        <w:t xml:space="preserve">% of individuals in Palestine suffered from deep poverty in </w:t>
      </w:r>
      <w:r w:rsidR="00A25933" w:rsidRPr="00325F4F">
        <w:rPr>
          <w:noProof/>
        </w:rPr>
        <w:t>2018</w:t>
      </w:r>
      <w:r w:rsidR="000B464B" w:rsidRPr="00325F4F">
        <w:rPr>
          <w:noProof/>
        </w:rPr>
        <w:t xml:space="preserve">: </w:t>
      </w:r>
      <w:r w:rsidR="000B464B" w:rsidRPr="00325F4F">
        <w:rPr>
          <w:rFonts w:hint="cs"/>
          <w:noProof/>
          <w:rtl/>
        </w:rPr>
        <w:t>5.8</w:t>
      </w:r>
      <w:r w:rsidR="000B464B" w:rsidRPr="00325F4F">
        <w:rPr>
          <w:noProof/>
        </w:rPr>
        <w:t xml:space="preserve">% in the West Bank and </w:t>
      </w:r>
      <w:r w:rsidR="000B464B" w:rsidRPr="00325F4F">
        <w:rPr>
          <w:rFonts w:hint="cs"/>
          <w:noProof/>
          <w:rtl/>
        </w:rPr>
        <w:t>33.8</w:t>
      </w:r>
      <w:r w:rsidR="000B464B" w:rsidRPr="00325F4F">
        <w:rPr>
          <w:noProof/>
        </w:rPr>
        <w:t>% in Gaza Strip.</w:t>
      </w:r>
    </w:p>
    <w:p w:rsidR="000B464B" w:rsidRPr="00325F4F" w:rsidRDefault="000B464B" w:rsidP="00A25933">
      <w:pPr>
        <w:pStyle w:val="BodyText2"/>
        <w:numPr>
          <w:ilvl w:val="0"/>
          <w:numId w:val="2"/>
        </w:numPr>
        <w:overflowPunct/>
        <w:autoSpaceDE/>
        <w:autoSpaceDN/>
        <w:adjustRightInd/>
        <w:spacing w:after="120"/>
        <w:ind w:left="266" w:hanging="266"/>
        <w:textAlignment w:val="auto"/>
        <w:rPr>
          <w:noProof/>
        </w:rPr>
      </w:pPr>
      <w:r w:rsidRPr="00325F4F">
        <w:rPr>
          <w:noProof/>
        </w:rPr>
        <w:t xml:space="preserve">Average Monthly Expenditure Per Capita in </w:t>
      </w:r>
      <w:r w:rsidR="00A25933" w:rsidRPr="00325F4F">
        <w:rPr>
          <w:noProof/>
        </w:rPr>
        <w:t>2018</w:t>
      </w:r>
      <w:r w:rsidRPr="00325F4F">
        <w:rPr>
          <w:noProof/>
        </w:rPr>
        <w:t xml:space="preserve">: Data revealed that </w:t>
      </w:r>
      <w:r w:rsidR="00021836">
        <w:rPr>
          <w:noProof/>
        </w:rPr>
        <w:t xml:space="preserve">the </w:t>
      </w:r>
      <w:r w:rsidRPr="00325F4F">
        <w:rPr>
          <w:noProof/>
        </w:rPr>
        <w:t xml:space="preserve">monthly expenditure per capita was 169.5 JD: 220.1 JD in the West Bank and 91.2 JD in Gaza Strip.  Monthly expenditure on food groups per capita was 51.7 JD: 64.1 JD in the West Bank and 32.6 JD in Gaza Strip, while average monthly expenditure on non-food groups per capita was 93.1 JD: 124.1 JD in the West Bank and 45.1 JD in Gaza Strip.  </w:t>
      </w:r>
    </w:p>
    <w:p w:rsidR="000B464B" w:rsidRPr="00325F4F" w:rsidRDefault="000B464B" w:rsidP="00A25933">
      <w:pPr>
        <w:pStyle w:val="BodyText2"/>
        <w:numPr>
          <w:ilvl w:val="0"/>
          <w:numId w:val="2"/>
        </w:numPr>
        <w:overflowPunct/>
        <w:autoSpaceDE/>
        <w:autoSpaceDN/>
        <w:adjustRightInd/>
        <w:spacing w:after="120"/>
        <w:ind w:left="266" w:hanging="266"/>
        <w:textAlignment w:val="auto"/>
        <w:rPr>
          <w:noProof/>
        </w:rPr>
      </w:pPr>
      <w:r w:rsidRPr="00325F4F">
        <w:rPr>
          <w:noProof/>
        </w:rPr>
        <w:t xml:space="preserve">Average Monthly Consumption Per Capita in </w:t>
      </w:r>
      <w:r w:rsidR="00A25933" w:rsidRPr="00325F4F">
        <w:rPr>
          <w:noProof/>
        </w:rPr>
        <w:t>2018</w:t>
      </w:r>
      <w:r w:rsidRPr="00325F4F">
        <w:rPr>
          <w:noProof/>
        </w:rPr>
        <w:t>: Average monthly consumption per capita in Palestine was 171.7 JD: 221.2 JD in the West Bank and 95.0 JD in Gaza Strip.  Monthly consumption of food per capita was 52.7 JD: 65.4 JD in the West Bank and 33.0 JD in Gaza Strip</w:t>
      </w:r>
      <w:r w:rsidR="00755CA1" w:rsidRPr="00325F4F">
        <w:rPr>
          <w:noProof/>
        </w:rPr>
        <w:t xml:space="preserve">,  </w:t>
      </w:r>
      <w:r w:rsidRPr="00325F4F">
        <w:rPr>
          <w:noProof/>
        </w:rPr>
        <w:t>while average monthly consumption of non-food groups per capita was 119.0 JD: 155.9 JD in the West Bank and 61.9 JD in Gaza Strip.</w:t>
      </w:r>
    </w:p>
    <w:p w:rsidR="00E619C1" w:rsidRPr="00325F4F" w:rsidRDefault="00E619C1">
      <w:pPr>
        <w:overflowPunct/>
        <w:autoSpaceDE/>
        <w:autoSpaceDN/>
        <w:adjustRightInd/>
        <w:textAlignment w:val="auto"/>
        <w:rPr>
          <w:rFonts w:ascii="Arial" w:hAnsi="Arial" w:cs="Arial"/>
          <w:b/>
          <w:bCs/>
          <w:sz w:val="18"/>
          <w:szCs w:val="18"/>
        </w:rPr>
      </w:pPr>
    </w:p>
    <w:p w:rsidR="00381FD6" w:rsidRPr="00325F4F" w:rsidRDefault="00381FD6" w:rsidP="00A25933">
      <w:pPr>
        <w:jc w:val="center"/>
        <w:rPr>
          <w:rFonts w:ascii="Arial" w:hAnsi="Arial" w:cs="Arial"/>
          <w:b/>
          <w:bCs/>
          <w:sz w:val="18"/>
          <w:szCs w:val="18"/>
        </w:rPr>
      </w:pPr>
      <w:r w:rsidRPr="00325F4F">
        <w:rPr>
          <w:rFonts w:ascii="Arial" w:hAnsi="Arial" w:cs="Arial"/>
          <w:b/>
          <w:bCs/>
          <w:sz w:val="18"/>
          <w:szCs w:val="18"/>
        </w:rPr>
        <w:t xml:space="preserve">Poverty Percentages </w:t>
      </w:r>
      <w:r w:rsidR="00755CA1" w:rsidRPr="00325F4F">
        <w:rPr>
          <w:rFonts w:ascii="Arial" w:hAnsi="Arial" w:cs="Arial"/>
          <w:b/>
          <w:bCs/>
          <w:sz w:val="18"/>
          <w:szCs w:val="18"/>
        </w:rPr>
        <w:t xml:space="preserve">among </w:t>
      </w:r>
      <w:r w:rsidRPr="00325F4F">
        <w:rPr>
          <w:rFonts w:ascii="Arial" w:hAnsi="Arial" w:cs="Arial"/>
          <w:b/>
          <w:bCs/>
          <w:sz w:val="18"/>
          <w:szCs w:val="18"/>
        </w:rPr>
        <w:t xml:space="preserve">Individuals in Palestine </w:t>
      </w:r>
      <w:r w:rsidR="00755CA1" w:rsidRPr="00325F4F">
        <w:rPr>
          <w:rFonts w:ascii="Arial" w:hAnsi="Arial" w:cs="Arial"/>
          <w:b/>
          <w:bCs/>
          <w:sz w:val="18"/>
          <w:szCs w:val="18"/>
        </w:rPr>
        <w:t xml:space="preserve">according </w:t>
      </w:r>
      <w:r w:rsidRPr="00325F4F">
        <w:rPr>
          <w:rFonts w:ascii="Arial" w:hAnsi="Arial" w:cs="Arial"/>
          <w:b/>
          <w:bCs/>
          <w:sz w:val="18"/>
          <w:szCs w:val="18"/>
        </w:rPr>
        <w:t xml:space="preserve">to Monthly Consumption Patterns by Region, </w:t>
      </w:r>
      <w:r w:rsidR="00A25933" w:rsidRPr="00325F4F">
        <w:rPr>
          <w:rFonts w:ascii="Arial" w:hAnsi="Arial" w:cs="Arial"/>
          <w:b/>
          <w:bCs/>
          <w:sz w:val="18"/>
          <w:szCs w:val="18"/>
        </w:rPr>
        <w:t>2012</w:t>
      </w:r>
      <w:r w:rsidRPr="00325F4F">
        <w:rPr>
          <w:rFonts w:ascii="Arial" w:hAnsi="Arial" w:cs="Arial"/>
          <w:b/>
          <w:bCs/>
          <w:sz w:val="18"/>
          <w:szCs w:val="18"/>
        </w:rPr>
        <w:t xml:space="preserve">, </w:t>
      </w:r>
      <w:r w:rsidR="00A25933" w:rsidRPr="00325F4F">
        <w:rPr>
          <w:rFonts w:ascii="Arial" w:hAnsi="Arial" w:cs="Arial"/>
          <w:b/>
          <w:bCs/>
          <w:sz w:val="18"/>
          <w:szCs w:val="18"/>
        </w:rPr>
        <w:t>2018</w:t>
      </w:r>
    </w:p>
    <w:p w:rsidR="00381FD6" w:rsidRPr="00325F4F" w:rsidRDefault="00381FD6" w:rsidP="00381FD6">
      <w:pPr>
        <w:jc w:val="center"/>
        <w:rPr>
          <w:rFonts w:ascii="Arial" w:hAnsi="Arial" w:cs="Arial"/>
          <w:b/>
          <w:bCs/>
          <w:sz w:val="10"/>
          <w:szCs w:val="10"/>
        </w:rPr>
      </w:pPr>
    </w:p>
    <w:p w:rsidR="00381FD6" w:rsidRPr="00325F4F" w:rsidRDefault="00381FD6" w:rsidP="00381FD6">
      <w:pPr>
        <w:jc w:val="center"/>
        <w:rPr>
          <w:rtl/>
        </w:rPr>
      </w:pPr>
      <w:r w:rsidRPr="00325F4F">
        <w:rPr>
          <w:noProof/>
          <w:bdr w:val="single" w:sz="4" w:space="0" w:color="auto"/>
        </w:rPr>
        <w:drawing>
          <wp:inline distT="0" distB="0" distL="0" distR="0">
            <wp:extent cx="4484536" cy="2130950"/>
            <wp:effectExtent l="0" t="0" r="0" b="0"/>
            <wp:docPr id="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81FD6" w:rsidRPr="00325F4F" w:rsidRDefault="00381FD6" w:rsidP="00381FD6">
      <w:pPr>
        <w:pStyle w:val="Title"/>
        <w:bidi w:val="0"/>
        <w:ind w:left="-210"/>
        <w:jc w:val="left"/>
        <w:rPr>
          <w:rFonts w:cs="Traditional Arabic"/>
          <w:sz w:val="20"/>
          <w:szCs w:val="20"/>
        </w:rPr>
      </w:pPr>
    </w:p>
    <w:p w:rsidR="00084AEE" w:rsidRPr="00325F4F" w:rsidRDefault="00084AEE" w:rsidP="0015308F">
      <w:pPr>
        <w:pStyle w:val="ListParagraph"/>
        <w:bidi w:val="0"/>
        <w:ind w:left="0" w:right="-142"/>
        <w:jc w:val="lowKashida"/>
        <w:rPr>
          <w:rFonts w:cs="Times New Roman"/>
          <w:b/>
          <w:bCs/>
          <w:i/>
          <w:iCs/>
          <w:sz w:val="18"/>
          <w:szCs w:val="18"/>
          <w:u w:val="single"/>
        </w:rPr>
      </w:pPr>
      <w:r w:rsidRPr="00325F4F">
        <w:rPr>
          <w:rFonts w:cs="Times New Roman"/>
          <w:b/>
          <w:bCs/>
          <w:i/>
          <w:iCs/>
          <w:sz w:val="18"/>
          <w:szCs w:val="18"/>
          <w:u w:val="single"/>
        </w:rPr>
        <w:t xml:space="preserve">For more details </w:t>
      </w:r>
      <w:r w:rsidR="00FA6A6A" w:rsidRPr="00325F4F">
        <w:rPr>
          <w:rFonts w:cs="Times New Roman"/>
          <w:b/>
          <w:bCs/>
          <w:i/>
          <w:iCs/>
          <w:sz w:val="18"/>
          <w:szCs w:val="18"/>
          <w:u w:val="single"/>
        </w:rPr>
        <w:t xml:space="preserve">on </w:t>
      </w:r>
      <w:r w:rsidR="00B51C6A" w:rsidRPr="00325F4F">
        <w:rPr>
          <w:rFonts w:cs="Times New Roman"/>
          <w:b/>
          <w:bCs/>
          <w:i/>
          <w:iCs/>
          <w:sz w:val="18"/>
          <w:szCs w:val="18"/>
          <w:u w:val="single"/>
        </w:rPr>
        <w:t>l</w:t>
      </w:r>
      <w:r w:rsidRPr="00325F4F">
        <w:rPr>
          <w:rFonts w:cs="Times New Roman"/>
          <w:b/>
          <w:bCs/>
          <w:i/>
          <w:iCs/>
          <w:sz w:val="18"/>
          <w:szCs w:val="18"/>
          <w:u w:val="single"/>
        </w:rPr>
        <w:t xml:space="preserve">iving </w:t>
      </w:r>
      <w:r w:rsidR="00B51C6A" w:rsidRPr="00325F4F">
        <w:rPr>
          <w:rFonts w:cs="Times New Roman"/>
          <w:b/>
          <w:bCs/>
          <w:i/>
          <w:iCs/>
          <w:sz w:val="18"/>
          <w:szCs w:val="18"/>
          <w:u w:val="single"/>
        </w:rPr>
        <w:t>s</w:t>
      </w:r>
      <w:r w:rsidRPr="00325F4F">
        <w:rPr>
          <w:rFonts w:cs="Times New Roman"/>
          <w:b/>
          <w:bCs/>
          <w:i/>
          <w:iCs/>
          <w:sz w:val="18"/>
          <w:szCs w:val="18"/>
          <w:u w:val="single"/>
        </w:rPr>
        <w:t xml:space="preserve">tandards, see the tables in chapter 1.7 of the Arabic section, pages </w:t>
      </w:r>
      <w:r w:rsidR="0015308F">
        <w:rPr>
          <w:rFonts w:cs="Times New Roman"/>
          <w:b/>
          <w:bCs/>
          <w:i/>
          <w:iCs/>
          <w:sz w:val="18"/>
          <w:szCs w:val="18"/>
          <w:u w:val="single"/>
        </w:rPr>
        <w:t>89</w:t>
      </w:r>
      <w:r w:rsidRPr="00325F4F">
        <w:rPr>
          <w:rFonts w:cs="Times New Roman"/>
          <w:b/>
          <w:bCs/>
          <w:i/>
          <w:iCs/>
          <w:sz w:val="18"/>
          <w:szCs w:val="18"/>
          <w:u w:val="single"/>
        </w:rPr>
        <w:t>-</w:t>
      </w:r>
      <w:r w:rsidR="0015308F">
        <w:rPr>
          <w:rFonts w:cs="Times New Roman"/>
          <w:b/>
          <w:bCs/>
          <w:i/>
          <w:iCs/>
          <w:sz w:val="18"/>
          <w:szCs w:val="18"/>
          <w:u w:val="single"/>
        </w:rPr>
        <w:t>94</w:t>
      </w:r>
      <w:r w:rsidRPr="00325F4F">
        <w:rPr>
          <w:rFonts w:cs="Times New Roman"/>
          <w:b/>
          <w:bCs/>
          <w:i/>
          <w:iCs/>
          <w:sz w:val="18"/>
          <w:szCs w:val="18"/>
          <w:u w:val="single"/>
        </w:rPr>
        <w:t>.</w:t>
      </w:r>
    </w:p>
    <w:p w:rsidR="00084AEE" w:rsidRPr="00325F4F" w:rsidRDefault="00084AEE" w:rsidP="00084AEE">
      <w:pPr>
        <w:pStyle w:val="Title"/>
        <w:bidi w:val="0"/>
        <w:ind w:left="-210"/>
        <w:jc w:val="left"/>
        <w:rPr>
          <w:rFonts w:cs="Traditional Arabic"/>
          <w:sz w:val="20"/>
          <w:szCs w:val="20"/>
        </w:rPr>
      </w:pPr>
    </w:p>
    <w:p w:rsidR="00D27191" w:rsidRPr="00325F4F" w:rsidRDefault="00D27191" w:rsidP="00332048">
      <w:pPr>
        <w:pStyle w:val="Title"/>
        <w:numPr>
          <w:ilvl w:val="0"/>
          <w:numId w:val="19"/>
        </w:numPr>
        <w:bidi w:val="0"/>
        <w:ind w:left="252" w:hanging="252"/>
        <w:jc w:val="left"/>
        <w:rPr>
          <w:rFonts w:cs="Traditional Arabic"/>
          <w:sz w:val="20"/>
          <w:szCs w:val="20"/>
        </w:rPr>
      </w:pPr>
      <w:r w:rsidRPr="00325F4F">
        <w:rPr>
          <w:rFonts w:cs="Traditional Arabic"/>
          <w:sz w:val="20"/>
          <w:szCs w:val="20"/>
        </w:rPr>
        <w:t xml:space="preserve">Education </w:t>
      </w:r>
    </w:p>
    <w:p w:rsidR="00DE4D53" w:rsidRPr="00325F4F" w:rsidRDefault="00DE4D53" w:rsidP="00DE4D53">
      <w:pPr>
        <w:pStyle w:val="BodyText2"/>
        <w:numPr>
          <w:ilvl w:val="0"/>
          <w:numId w:val="2"/>
        </w:numPr>
        <w:overflowPunct/>
        <w:autoSpaceDE/>
        <w:autoSpaceDN/>
        <w:adjustRightInd/>
        <w:spacing w:after="120"/>
        <w:ind w:left="266" w:hanging="266"/>
        <w:textAlignment w:val="auto"/>
        <w:rPr>
          <w:noProof/>
        </w:rPr>
      </w:pPr>
      <w:r w:rsidRPr="00325F4F">
        <w:rPr>
          <w:noProof/>
        </w:rPr>
        <w:t xml:space="preserve">The total number of schools in Palestine in 2018/2019 was 3,037 comprising 2,300 in the West Bank and 737 in Gaza Strip. </w:t>
      </w:r>
    </w:p>
    <w:p w:rsidR="00DE4D53" w:rsidRPr="00325F4F" w:rsidRDefault="00DE4D53" w:rsidP="00DE4D53">
      <w:pPr>
        <w:pStyle w:val="BodyText2"/>
        <w:numPr>
          <w:ilvl w:val="0"/>
          <w:numId w:val="2"/>
        </w:numPr>
        <w:overflowPunct/>
        <w:autoSpaceDE/>
        <w:autoSpaceDN/>
        <w:adjustRightInd/>
        <w:spacing w:after="120"/>
        <w:ind w:left="266" w:hanging="266"/>
        <w:textAlignment w:val="auto"/>
        <w:rPr>
          <w:noProof/>
        </w:rPr>
      </w:pPr>
      <w:r w:rsidRPr="00325F4F">
        <w:rPr>
          <w:noProof/>
        </w:rPr>
        <w:t>The  total  number of students was 1,</w:t>
      </w:r>
      <w:r w:rsidRPr="00325F4F">
        <w:rPr>
          <w:rFonts w:hint="cs"/>
          <w:noProof/>
          <w:rtl/>
        </w:rPr>
        <w:t>2</w:t>
      </w:r>
      <w:r w:rsidRPr="00325F4F">
        <w:rPr>
          <w:noProof/>
        </w:rPr>
        <w:t xml:space="preserve">82,054: 1,044,033 at basic stage and </w:t>
      </w:r>
      <w:r w:rsidRPr="00325F4F">
        <w:rPr>
          <w:rFonts w:hint="cs"/>
          <w:noProof/>
          <w:rtl/>
        </w:rPr>
        <w:t>23</w:t>
      </w:r>
      <w:r w:rsidRPr="00325F4F">
        <w:rPr>
          <w:noProof/>
        </w:rPr>
        <w:t>8,021 at secondary stage.</w:t>
      </w:r>
    </w:p>
    <w:p w:rsidR="00AA02CE" w:rsidRPr="00325F4F" w:rsidRDefault="00DE4D53" w:rsidP="00DE4D53">
      <w:pPr>
        <w:pStyle w:val="BodyText2"/>
        <w:numPr>
          <w:ilvl w:val="0"/>
          <w:numId w:val="2"/>
        </w:numPr>
        <w:overflowPunct/>
        <w:autoSpaceDE/>
        <w:autoSpaceDN/>
        <w:adjustRightInd/>
        <w:spacing w:after="120"/>
        <w:ind w:left="266" w:hanging="266"/>
        <w:textAlignment w:val="auto"/>
        <w:rPr>
          <w:noProof/>
        </w:rPr>
      </w:pPr>
      <w:r w:rsidRPr="00325F4F">
        <w:rPr>
          <w:noProof/>
        </w:rPr>
        <w:t xml:space="preserve">The average number of students per class in </w:t>
      </w:r>
      <w:r w:rsidR="00BA0F5D">
        <w:rPr>
          <w:noProof/>
        </w:rPr>
        <w:t xml:space="preserve">the </w:t>
      </w:r>
      <w:r w:rsidRPr="00325F4F">
        <w:rPr>
          <w:noProof/>
        </w:rPr>
        <w:t xml:space="preserve">basic stage by supervisory authority was 30.1 in governmental schools, 40.2 in UNRWA schools, and 22.6 in private schools. </w:t>
      </w:r>
      <w:r w:rsidRPr="00325F4F">
        <w:rPr>
          <w:noProof/>
        </w:rPr>
        <w:lastRenderedPageBreak/>
        <w:t xml:space="preserve">The average number of students per class in </w:t>
      </w:r>
      <w:r w:rsidR="00BA0F5D">
        <w:rPr>
          <w:noProof/>
        </w:rPr>
        <w:t xml:space="preserve">the </w:t>
      </w:r>
      <w:r w:rsidRPr="00325F4F">
        <w:rPr>
          <w:noProof/>
        </w:rPr>
        <w:t>secondary stage was 28.7 in governmental schools, 33.8 in UNRWA schools and 19.6 in private schools.</w:t>
      </w:r>
    </w:p>
    <w:p w:rsidR="00D27191" w:rsidRPr="00325F4F" w:rsidRDefault="00D27191" w:rsidP="00071895">
      <w:pPr>
        <w:pStyle w:val="BodyText"/>
        <w:overflowPunct/>
        <w:autoSpaceDE/>
        <w:autoSpaceDN/>
        <w:adjustRightInd/>
        <w:jc w:val="center"/>
        <w:textAlignment w:val="auto"/>
        <w:rPr>
          <w:rtl/>
        </w:rPr>
      </w:pPr>
    </w:p>
    <w:p w:rsidR="00084AEE" w:rsidRDefault="005075F0" w:rsidP="00084AEE">
      <w:pPr>
        <w:pStyle w:val="ListParagraph"/>
        <w:bidi w:val="0"/>
        <w:ind w:left="0"/>
        <w:jc w:val="lowKashida"/>
        <w:rPr>
          <w:rFonts w:cs="Times New Roman"/>
          <w:i/>
          <w:iCs/>
          <w:sz w:val="20"/>
          <w:u w:val="single"/>
        </w:rPr>
      </w:pPr>
      <w:r>
        <w:rPr>
          <w:rFonts w:cs="Times New Roman"/>
          <w:i/>
          <w:iCs/>
          <w:sz w:val="20"/>
          <w:u w:val="single"/>
        </w:rPr>
        <w:drawing>
          <wp:anchor distT="0" distB="0" distL="114300" distR="114300" simplePos="0" relativeHeight="251704320" behindDoc="0" locked="0" layoutInCell="1" allowOverlap="1">
            <wp:simplePos x="0" y="0"/>
            <wp:positionH relativeFrom="column">
              <wp:posOffset>830580</wp:posOffset>
            </wp:positionH>
            <wp:positionV relativeFrom="paragraph">
              <wp:posOffset>83820</wp:posOffset>
            </wp:positionV>
            <wp:extent cx="3307715" cy="4465955"/>
            <wp:effectExtent l="38100" t="19050" r="26035" b="10795"/>
            <wp:wrapSquare wrapText="bothSides"/>
            <wp:docPr id="13" name="Picture 4" descr="G:\بعد ادخال المواد عليه كتاب فلسطين الاحصائي 2017\الخرائط  الاحصائية 2017\الخرائط 2017\illiterate_rate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بعد ادخال المواد عليه كتاب فلسطين الاحصائي 2017\الخرائط  الاحصائية 2017\الخرائط 2017\illiterate_rate_En.png"/>
                    <pic:cNvPicPr>
                      <a:picLocks noChangeAspect="1" noChangeArrowheads="1"/>
                    </pic:cNvPicPr>
                  </pic:nvPicPr>
                  <pic:blipFill>
                    <a:blip r:embed="rId16"/>
                    <a:srcRect l="7263" t="8669" r="6862" b="15289"/>
                    <a:stretch>
                      <a:fillRect/>
                    </a:stretch>
                  </pic:blipFill>
                  <pic:spPr bwMode="auto">
                    <a:xfrm>
                      <a:off x="0" y="0"/>
                      <a:ext cx="3307715" cy="4465955"/>
                    </a:xfrm>
                    <a:prstGeom prst="rect">
                      <a:avLst/>
                    </a:prstGeom>
                    <a:noFill/>
                    <a:ln w="9525">
                      <a:solidFill>
                        <a:schemeClr val="tx1"/>
                      </a:solidFill>
                      <a:miter lim="800000"/>
                      <a:headEnd/>
                      <a:tailEnd/>
                    </a:ln>
                  </pic:spPr>
                </pic:pic>
              </a:graphicData>
            </a:graphic>
          </wp:anchor>
        </w:drawing>
      </w: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841227" w:rsidRDefault="00841227" w:rsidP="00841227">
      <w:pPr>
        <w:pStyle w:val="ListParagraph"/>
        <w:bidi w:val="0"/>
        <w:ind w:left="0"/>
        <w:jc w:val="lowKashida"/>
        <w:rPr>
          <w:rFonts w:cs="Times New Roman"/>
          <w:i/>
          <w:iCs/>
          <w:sz w:val="20"/>
          <w:u w:val="single"/>
        </w:rPr>
      </w:pPr>
    </w:p>
    <w:p w:rsidR="005075F0" w:rsidRDefault="005075F0" w:rsidP="0015308F">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5075F0" w:rsidRDefault="005075F0" w:rsidP="005075F0">
      <w:pPr>
        <w:pStyle w:val="ListParagraph"/>
        <w:bidi w:val="0"/>
        <w:ind w:left="0"/>
        <w:jc w:val="lowKashida"/>
        <w:rPr>
          <w:rFonts w:cs="Times New Roman"/>
          <w:b/>
          <w:bCs/>
          <w:i/>
          <w:iCs/>
          <w:sz w:val="18"/>
          <w:szCs w:val="18"/>
          <w:u w:val="single"/>
        </w:rPr>
      </w:pPr>
    </w:p>
    <w:p w:rsidR="00084AEE" w:rsidRPr="00325F4F" w:rsidRDefault="00726D2F" w:rsidP="005075F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w:t>
      </w:r>
      <w:r w:rsidR="00084AEE" w:rsidRPr="00325F4F">
        <w:rPr>
          <w:rFonts w:cs="Times New Roman"/>
          <w:b/>
          <w:bCs/>
          <w:i/>
          <w:iCs/>
          <w:sz w:val="18"/>
          <w:szCs w:val="18"/>
          <w:u w:val="single"/>
        </w:rPr>
        <w:t xml:space="preserve"> details </w:t>
      </w:r>
      <w:r w:rsidR="00FA6A6A" w:rsidRPr="00325F4F">
        <w:rPr>
          <w:rFonts w:cs="Times New Roman"/>
          <w:b/>
          <w:bCs/>
          <w:i/>
          <w:iCs/>
          <w:sz w:val="18"/>
          <w:szCs w:val="18"/>
          <w:u w:val="single"/>
        </w:rPr>
        <w:t xml:space="preserve">on </w:t>
      </w:r>
      <w:r w:rsidR="00084AEE" w:rsidRPr="00325F4F">
        <w:rPr>
          <w:rFonts w:cs="Times New Roman"/>
          <w:b/>
          <w:bCs/>
          <w:i/>
          <w:iCs/>
          <w:sz w:val="18"/>
          <w:szCs w:val="18"/>
          <w:u w:val="single"/>
        </w:rPr>
        <w:t>education, see the tables in chapter 1.</w:t>
      </w:r>
      <w:r w:rsidR="00C0209D" w:rsidRPr="00325F4F">
        <w:rPr>
          <w:rFonts w:cs="Times New Roman"/>
          <w:b/>
          <w:bCs/>
          <w:i/>
          <w:iCs/>
          <w:sz w:val="18"/>
          <w:szCs w:val="18"/>
          <w:u w:val="single"/>
        </w:rPr>
        <w:t>8</w:t>
      </w:r>
      <w:r w:rsidR="00084AEE" w:rsidRPr="00325F4F">
        <w:rPr>
          <w:rFonts w:cs="Times New Roman"/>
          <w:b/>
          <w:bCs/>
          <w:i/>
          <w:iCs/>
          <w:sz w:val="18"/>
          <w:szCs w:val="18"/>
          <w:u w:val="single"/>
        </w:rPr>
        <w:t xml:space="preserve"> of the Arabic section, pages </w:t>
      </w:r>
      <w:r w:rsidR="0015308F">
        <w:rPr>
          <w:rFonts w:cs="Times New Roman"/>
          <w:b/>
          <w:bCs/>
          <w:i/>
          <w:iCs/>
          <w:sz w:val="18"/>
          <w:szCs w:val="18"/>
          <w:u w:val="single"/>
        </w:rPr>
        <w:t>95</w:t>
      </w:r>
      <w:r w:rsidR="00084AEE" w:rsidRPr="00325F4F">
        <w:rPr>
          <w:rFonts w:cs="Times New Roman"/>
          <w:b/>
          <w:bCs/>
          <w:i/>
          <w:iCs/>
          <w:sz w:val="18"/>
          <w:szCs w:val="18"/>
          <w:u w:val="single"/>
        </w:rPr>
        <w:t>-</w:t>
      </w:r>
      <w:r w:rsidR="0015308F">
        <w:rPr>
          <w:rFonts w:cs="Times New Roman"/>
          <w:b/>
          <w:bCs/>
          <w:i/>
          <w:iCs/>
          <w:sz w:val="18"/>
          <w:szCs w:val="18"/>
          <w:u w:val="single"/>
        </w:rPr>
        <w:t>110</w:t>
      </w:r>
      <w:r w:rsidR="00084AEE" w:rsidRPr="00325F4F">
        <w:rPr>
          <w:rFonts w:cs="Times New Roman"/>
          <w:b/>
          <w:bCs/>
          <w:i/>
          <w:iCs/>
          <w:sz w:val="18"/>
          <w:szCs w:val="18"/>
          <w:u w:val="single"/>
        </w:rPr>
        <w:t>.</w:t>
      </w:r>
    </w:p>
    <w:p w:rsidR="00084AEE" w:rsidRDefault="00084AEE" w:rsidP="00084AEE">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841227" w:rsidRDefault="00841227" w:rsidP="00841227">
      <w:pPr>
        <w:pStyle w:val="Title"/>
        <w:bidi w:val="0"/>
        <w:ind w:left="98"/>
        <w:jc w:val="left"/>
        <w:rPr>
          <w:rFonts w:cs="Traditional Arabic"/>
          <w:sz w:val="20"/>
          <w:szCs w:val="20"/>
        </w:rPr>
      </w:pPr>
    </w:p>
    <w:p w:rsidR="00D27191" w:rsidRPr="00325F4F" w:rsidRDefault="00D27191" w:rsidP="00332048">
      <w:pPr>
        <w:pStyle w:val="Title"/>
        <w:numPr>
          <w:ilvl w:val="0"/>
          <w:numId w:val="19"/>
        </w:numPr>
        <w:bidi w:val="0"/>
        <w:ind w:left="252" w:hanging="252"/>
        <w:jc w:val="left"/>
        <w:rPr>
          <w:rFonts w:cs="Traditional Arabic"/>
          <w:sz w:val="20"/>
          <w:szCs w:val="20"/>
        </w:rPr>
      </w:pPr>
      <w:r w:rsidRPr="00325F4F">
        <w:rPr>
          <w:rFonts w:cs="Traditional Arabic"/>
          <w:sz w:val="20"/>
          <w:szCs w:val="20"/>
        </w:rPr>
        <w:lastRenderedPageBreak/>
        <w:t>Culture</w:t>
      </w:r>
      <w:r w:rsidRPr="00325F4F">
        <w:rPr>
          <w:rFonts w:cs="Traditional Arabic"/>
          <w:sz w:val="20"/>
          <w:szCs w:val="20"/>
        </w:rPr>
        <w:tab/>
        <w:t xml:space="preserve">                              </w:t>
      </w:r>
    </w:p>
    <w:p w:rsidR="00DE4D53" w:rsidRPr="00325F4F" w:rsidRDefault="00DE4D53" w:rsidP="00DE4D53">
      <w:pPr>
        <w:pStyle w:val="BodyText2"/>
        <w:numPr>
          <w:ilvl w:val="0"/>
          <w:numId w:val="2"/>
        </w:numPr>
        <w:overflowPunct/>
        <w:autoSpaceDE/>
        <w:autoSpaceDN/>
        <w:adjustRightInd/>
        <w:spacing w:after="120"/>
        <w:ind w:left="266" w:hanging="266"/>
        <w:textAlignment w:val="auto"/>
        <w:rPr>
          <w:noProof/>
        </w:rPr>
      </w:pPr>
      <w:r w:rsidRPr="00325F4F">
        <w:rPr>
          <w:noProof/>
        </w:rPr>
        <w:t>In 2018, there were 597 operating cultural centers in Palestine.</w:t>
      </w:r>
    </w:p>
    <w:p w:rsidR="00AA02CE" w:rsidRPr="00325F4F" w:rsidRDefault="00DE4D53" w:rsidP="00DE4D53">
      <w:pPr>
        <w:pStyle w:val="BodyText2"/>
        <w:numPr>
          <w:ilvl w:val="0"/>
          <w:numId w:val="2"/>
        </w:numPr>
        <w:overflowPunct/>
        <w:autoSpaceDE/>
        <w:autoSpaceDN/>
        <w:adjustRightInd/>
        <w:spacing w:after="120"/>
        <w:ind w:left="266" w:hanging="266"/>
        <w:textAlignment w:val="auto"/>
        <w:rPr>
          <w:noProof/>
        </w:rPr>
      </w:pPr>
      <w:r w:rsidRPr="00325F4F">
        <w:rPr>
          <w:noProof/>
        </w:rPr>
        <w:t>In 2018, there were 33 museums operating in Palestine.</w:t>
      </w:r>
    </w:p>
    <w:p w:rsidR="00D27191" w:rsidRPr="00325F4F" w:rsidRDefault="00342B75" w:rsidP="00D27191">
      <w:pPr>
        <w:jc w:val="center"/>
        <w:rPr>
          <w:rFonts w:ascii="Arial" w:hAnsi="Arial" w:cs="Arial"/>
          <w:b/>
          <w:bCs/>
          <w:sz w:val="6"/>
          <w:szCs w:val="6"/>
        </w:rPr>
      </w:pPr>
      <w:r>
        <w:rPr>
          <w:rFonts w:ascii="Arial" w:hAnsi="Arial" w:cs="Arial"/>
          <w:b/>
          <w:bCs/>
          <w:noProof/>
          <w:sz w:val="6"/>
          <w:szCs w:val="6"/>
        </w:rPr>
        <w:drawing>
          <wp:anchor distT="0" distB="0" distL="114300" distR="114300" simplePos="0" relativeHeight="251716608" behindDoc="0" locked="0" layoutInCell="1" allowOverlap="1">
            <wp:simplePos x="0" y="0"/>
            <wp:positionH relativeFrom="column">
              <wp:posOffset>825500</wp:posOffset>
            </wp:positionH>
            <wp:positionV relativeFrom="paragraph">
              <wp:posOffset>34290</wp:posOffset>
            </wp:positionV>
            <wp:extent cx="3121025" cy="3726815"/>
            <wp:effectExtent l="38100" t="19050" r="22225" b="26035"/>
            <wp:wrapSquare wrapText="bothSides"/>
            <wp:docPr id="25" name="Picture 2" descr="G:\كتاب فلسطين الاحصائي السنوي 2019\الخرائط\Cultural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19\الخرائط\Cultural_2019_En.png"/>
                    <pic:cNvPicPr>
                      <a:picLocks noChangeAspect="1" noChangeArrowheads="1"/>
                    </pic:cNvPicPr>
                  </pic:nvPicPr>
                  <pic:blipFill>
                    <a:blip r:embed="rId17" cstate="print"/>
                    <a:srcRect l="9880" t="12712" r="10629" b="17267"/>
                    <a:stretch>
                      <a:fillRect/>
                    </a:stretch>
                  </pic:blipFill>
                  <pic:spPr bwMode="auto">
                    <a:xfrm>
                      <a:off x="0" y="0"/>
                      <a:ext cx="3121025" cy="3726815"/>
                    </a:xfrm>
                    <a:prstGeom prst="rect">
                      <a:avLst/>
                    </a:prstGeom>
                    <a:noFill/>
                    <a:ln w="9525">
                      <a:solidFill>
                        <a:schemeClr val="tx1"/>
                      </a:solidFill>
                      <a:miter lim="800000"/>
                      <a:headEnd/>
                      <a:tailEnd/>
                    </a:ln>
                  </pic:spPr>
                </pic:pic>
              </a:graphicData>
            </a:graphic>
          </wp:anchor>
        </w:drawing>
      </w:r>
    </w:p>
    <w:p w:rsidR="00EA2859" w:rsidRPr="00325F4F" w:rsidRDefault="00EA2859" w:rsidP="00EA2859">
      <w:pPr>
        <w:jc w:val="center"/>
        <w:rPr>
          <w:rFonts w:ascii="Arial" w:hAnsi="Arial" w:cs="Arial"/>
          <w:b/>
          <w:bCs/>
          <w:sz w:val="6"/>
          <w:szCs w:val="6"/>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841227" w:rsidRDefault="00841227" w:rsidP="00DE4D53">
      <w:pPr>
        <w:jc w:val="center"/>
        <w:rPr>
          <w:rFonts w:ascii="Arial" w:hAnsi="Arial" w:cs="Arial"/>
          <w:b/>
          <w:bCs/>
          <w:sz w:val="18"/>
          <w:szCs w:val="18"/>
        </w:rPr>
      </w:pPr>
    </w:p>
    <w:p w:rsidR="00342B75" w:rsidRDefault="00342B75" w:rsidP="00DE4D53">
      <w:pPr>
        <w:jc w:val="center"/>
        <w:rPr>
          <w:rFonts w:ascii="Arial" w:hAnsi="Arial" w:cs="Arial"/>
          <w:b/>
          <w:bCs/>
          <w:sz w:val="18"/>
          <w:szCs w:val="18"/>
        </w:rPr>
      </w:pPr>
    </w:p>
    <w:p w:rsidR="00342B75" w:rsidRDefault="00342B75" w:rsidP="00DE4D53">
      <w:pPr>
        <w:jc w:val="center"/>
        <w:rPr>
          <w:rFonts w:ascii="Arial" w:hAnsi="Arial" w:cs="Arial"/>
          <w:b/>
          <w:bCs/>
          <w:sz w:val="18"/>
          <w:szCs w:val="18"/>
        </w:rPr>
      </w:pPr>
    </w:p>
    <w:p w:rsidR="00342B75" w:rsidRDefault="00342B75" w:rsidP="00DE4D53">
      <w:pPr>
        <w:jc w:val="center"/>
        <w:rPr>
          <w:rFonts w:ascii="Arial" w:hAnsi="Arial" w:cs="Arial"/>
          <w:b/>
          <w:bCs/>
          <w:sz w:val="18"/>
          <w:szCs w:val="18"/>
        </w:rPr>
      </w:pPr>
    </w:p>
    <w:p w:rsidR="00DE4D53" w:rsidRPr="00325F4F" w:rsidRDefault="00DE4D53" w:rsidP="00DE4D53">
      <w:pPr>
        <w:jc w:val="center"/>
        <w:rPr>
          <w:rFonts w:ascii="Arial" w:hAnsi="Arial" w:cs="Arial"/>
          <w:b/>
          <w:bCs/>
          <w:sz w:val="18"/>
          <w:szCs w:val="18"/>
        </w:rPr>
      </w:pPr>
      <w:r w:rsidRPr="00325F4F">
        <w:rPr>
          <w:rFonts w:ascii="Arial" w:hAnsi="Arial" w:cs="Arial"/>
          <w:b/>
          <w:bCs/>
          <w:sz w:val="18"/>
          <w:szCs w:val="18"/>
        </w:rPr>
        <w:t>Audience of Stage Shows in Palestine by Month, 2018</w:t>
      </w:r>
    </w:p>
    <w:p w:rsidR="00DE4D53" w:rsidRPr="00325F4F" w:rsidRDefault="00DE4D53" w:rsidP="00DE4D53">
      <w:pPr>
        <w:jc w:val="center"/>
        <w:rPr>
          <w:b/>
          <w:bCs/>
          <w:sz w:val="10"/>
          <w:szCs w:val="10"/>
        </w:rPr>
      </w:pPr>
    </w:p>
    <w:p w:rsidR="00DE4D53" w:rsidRPr="00325F4F" w:rsidRDefault="00DE4D53" w:rsidP="00DE4D53">
      <w:pPr>
        <w:jc w:val="center"/>
        <w:rPr>
          <w:rFonts w:ascii="Arial" w:hAnsi="Arial" w:cs="Arial"/>
          <w:b/>
          <w:bCs/>
          <w:sz w:val="18"/>
          <w:szCs w:val="18"/>
        </w:rPr>
      </w:pPr>
      <w:r w:rsidRPr="00325F4F">
        <w:rPr>
          <w:rFonts w:ascii="Arial" w:hAnsi="Arial" w:cs="Arial"/>
          <w:b/>
          <w:bCs/>
          <w:noProof/>
          <w:sz w:val="18"/>
          <w:szCs w:val="18"/>
          <w:bdr w:val="single" w:sz="4" w:space="0" w:color="auto"/>
        </w:rPr>
        <w:drawing>
          <wp:inline distT="0" distB="0" distL="0" distR="0">
            <wp:extent cx="4708478" cy="2026693"/>
            <wp:effectExtent l="0" t="0" r="0" b="0"/>
            <wp:docPr id="1"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27191" w:rsidRPr="00325F4F" w:rsidRDefault="00D27191"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w:t>
      </w:r>
      <w:r w:rsidR="00FA6A6A" w:rsidRPr="00325F4F">
        <w:rPr>
          <w:rFonts w:cs="Times New Roman"/>
          <w:b/>
          <w:bCs/>
          <w:i/>
          <w:iCs/>
          <w:sz w:val="18"/>
          <w:szCs w:val="18"/>
          <w:u w:val="single"/>
        </w:rPr>
        <w:t xml:space="preserve">on </w:t>
      </w:r>
      <w:r w:rsidRPr="00325F4F">
        <w:rPr>
          <w:rFonts w:cs="Times New Roman"/>
          <w:b/>
          <w:bCs/>
          <w:i/>
          <w:iCs/>
          <w:sz w:val="18"/>
          <w:szCs w:val="18"/>
          <w:u w:val="single"/>
        </w:rPr>
        <w:t>culture, see the tables in chapter 1.</w:t>
      </w:r>
      <w:r w:rsidR="00C0209D" w:rsidRPr="00325F4F">
        <w:rPr>
          <w:rFonts w:cs="Times New Roman"/>
          <w:b/>
          <w:bCs/>
          <w:i/>
          <w:iCs/>
          <w:sz w:val="18"/>
          <w:szCs w:val="18"/>
          <w:u w:val="single"/>
        </w:rPr>
        <w:t>9</w:t>
      </w:r>
      <w:r w:rsidRPr="00325F4F">
        <w:rPr>
          <w:rFonts w:cs="Times New Roman"/>
          <w:b/>
          <w:bCs/>
          <w:i/>
          <w:iCs/>
          <w:sz w:val="18"/>
          <w:szCs w:val="18"/>
          <w:u w:val="single"/>
        </w:rPr>
        <w:t xml:space="preserve"> of the Arabic section, pages </w:t>
      </w:r>
      <w:r w:rsidR="0015308F">
        <w:rPr>
          <w:rFonts w:cs="Times New Roman"/>
          <w:b/>
          <w:bCs/>
          <w:i/>
          <w:iCs/>
          <w:sz w:val="18"/>
          <w:szCs w:val="18"/>
          <w:u w:val="single"/>
        </w:rPr>
        <w:t>111</w:t>
      </w:r>
      <w:r w:rsidRPr="00325F4F">
        <w:rPr>
          <w:rFonts w:cs="Times New Roman"/>
          <w:b/>
          <w:bCs/>
          <w:i/>
          <w:iCs/>
          <w:sz w:val="18"/>
          <w:szCs w:val="18"/>
          <w:u w:val="single"/>
        </w:rPr>
        <w:t>-</w:t>
      </w:r>
      <w:r w:rsidR="0015308F">
        <w:rPr>
          <w:rFonts w:cs="Times New Roman"/>
          <w:b/>
          <w:bCs/>
          <w:i/>
          <w:iCs/>
          <w:sz w:val="18"/>
          <w:szCs w:val="18"/>
          <w:u w:val="single"/>
        </w:rPr>
        <w:t>116</w:t>
      </w:r>
      <w:r w:rsidRPr="00325F4F">
        <w:rPr>
          <w:rFonts w:cs="Times New Roman"/>
          <w:b/>
          <w:bCs/>
          <w:i/>
          <w:iCs/>
          <w:sz w:val="18"/>
          <w:szCs w:val="18"/>
          <w:u w:val="single"/>
        </w:rPr>
        <w:t>.</w:t>
      </w:r>
    </w:p>
    <w:p w:rsidR="00084AEE" w:rsidRPr="00325F4F" w:rsidRDefault="00084AEE" w:rsidP="00084AEE">
      <w:pPr>
        <w:pStyle w:val="Title"/>
        <w:bidi w:val="0"/>
        <w:ind w:left="98"/>
        <w:jc w:val="lowKashida"/>
        <w:rPr>
          <w:rFonts w:cs="Traditional Arabic"/>
          <w:sz w:val="20"/>
          <w:szCs w:val="20"/>
        </w:rPr>
      </w:pPr>
    </w:p>
    <w:p w:rsidR="007C643D" w:rsidRPr="00325F4F" w:rsidRDefault="007C643D" w:rsidP="007C643D">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lastRenderedPageBreak/>
        <w:t>Information Society</w:t>
      </w:r>
    </w:p>
    <w:p w:rsidR="007C643D" w:rsidRPr="00325F4F" w:rsidRDefault="007C643D" w:rsidP="004F27E2">
      <w:pPr>
        <w:pStyle w:val="BodyText2"/>
        <w:numPr>
          <w:ilvl w:val="0"/>
          <w:numId w:val="2"/>
        </w:numPr>
        <w:overflowPunct/>
        <w:autoSpaceDE/>
        <w:autoSpaceDN/>
        <w:adjustRightInd/>
        <w:spacing w:after="120"/>
        <w:ind w:left="266" w:hanging="266"/>
        <w:textAlignment w:val="auto"/>
        <w:rPr>
          <w:noProof/>
        </w:rPr>
      </w:pPr>
      <w:r w:rsidRPr="00325F4F">
        <w:rPr>
          <w:noProof/>
        </w:rPr>
        <w:t xml:space="preserve">In 2018, </w:t>
      </w:r>
      <w:r w:rsidRPr="00325F4F">
        <w:rPr>
          <w:rFonts w:hint="cs"/>
          <w:noProof/>
          <w:rtl/>
        </w:rPr>
        <w:t>36.9</w:t>
      </w:r>
      <w:r w:rsidRPr="00325F4F">
        <w:rPr>
          <w:noProof/>
        </w:rPr>
        <w:t>% of households in Palestine had  computer</w:t>
      </w:r>
      <w:r w:rsidR="0015308F">
        <w:rPr>
          <w:noProof/>
        </w:rPr>
        <w:t xml:space="preserve"> (Desktop, Laptop, Tablet)</w:t>
      </w:r>
      <w:r w:rsidRPr="00325F4F">
        <w:rPr>
          <w:noProof/>
        </w:rPr>
        <w:t>.</w:t>
      </w:r>
    </w:p>
    <w:p w:rsidR="007C643D" w:rsidRPr="00325F4F" w:rsidRDefault="007C643D" w:rsidP="007C643D">
      <w:pPr>
        <w:pStyle w:val="BodyText2"/>
        <w:numPr>
          <w:ilvl w:val="0"/>
          <w:numId w:val="2"/>
        </w:numPr>
        <w:overflowPunct/>
        <w:autoSpaceDE/>
        <w:autoSpaceDN/>
        <w:adjustRightInd/>
        <w:spacing w:after="120"/>
        <w:ind w:left="266" w:hanging="266"/>
        <w:textAlignment w:val="auto"/>
        <w:rPr>
          <w:noProof/>
        </w:rPr>
      </w:pPr>
      <w:r w:rsidRPr="00325F4F">
        <w:rPr>
          <w:noProof/>
        </w:rPr>
        <w:t>In 2018, 64.5% of households in Palestine had an Internet connection</w:t>
      </w:r>
      <w:r w:rsidR="004F27E2">
        <w:rPr>
          <w:noProof/>
        </w:rPr>
        <w:t xml:space="preserve"> at home</w:t>
      </w:r>
      <w:r w:rsidRPr="00325F4F">
        <w:rPr>
          <w:noProof/>
        </w:rPr>
        <w:t xml:space="preserve"> and 96.5% of households in Palestine had a mobile phone.</w:t>
      </w:r>
    </w:p>
    <w:p w:rsidR="007C643D" w:rsidRPr="00325F4F" w:rsidRDefault="003F6A00" w:rsidP="007C643D">
      <w:pPr>
        <w:pStyle w:val="Heading1"/>
        <w:tabs>
          <w:tab w:val="left" w:pos="3537"/>
          <w:tab w:val="left" w:pos="5433"/>
          <w:tab w:val="left" w:pos="6511"/>
          <w:tab w:val="left" w:pos="7569"/>
          <w:tab w:val="left" w:pos="10245"/>
        </w:tabs>
        <w:jc w:val="center"/>
        <w:rPr>
          <w:rFonts w:ascii="Arial" w:hAnsi="Arial" w:cs="Arial"/>
          <w:sz w:val="18"/>
          <w:szCs w:val="18"/>
        </w:rPr>
      </w:pPr>
      <w:r>
        <w:rPr>
          <w:rFonts w:ascii="Arial" w:hAnsi="Arial" w:cs="Arial"/>
          <w:noProof/>
          <w:sz w:val="18"/>
          <w:szCs w:val="18"/>
        </w:rPr>
        <w:drawing>
          <wp:anchor distT="0" distB="0" distL="114300" distR="114300" simplePos="0" relativeHeight="251718656" behindDoc="0" locked="0" layoutInCell="1" allowOverlap="1">
            <wp:simplePos x="0" y="0"/>
            <wp:positionH relativeFrom="column">
              <wp:posOffset>785495</wp:posOffset>
            </wp:positionH>
            <wp:positionV relativeFrom="paragraph">
              <wp:posOffset>46355</wp:posOffset>
            </wp:positionV>
            <wp:extent cx="3134995" cy="3722370"/>
            <wp:effectExtent l="19050" t="19050" r="27305" b="11430"/>
            <wp:wrapSquare wrapText="bothSides"/>
            <wp:docPr id="27" name="Picture 6" descr="G:\كتاب فلسطين الاحصائي السنوي 2019\الخرائط\Internet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19\الخرائط\Internet_2019_En.png"/>
                    <pic:cNvPicPr>
                      <a:picLocks noChangeAspect="1" noChangeArrowheads="1"/>
                    </pic:cNvPicPr>
                  </pic:nvPicPr>
                  <pic:blipFill>
                    <a:blip r:embed="rId19"/>
                    <a:srcRect l="5254" t="11019" r="4394" b="15756"/>
                    <a:stretch>
                      <a:fillRect/>
                    </a:stretch>
                  </pic:blipFill>
                  <pic:spPr bwMode="auto">
                    <a:xfrm>
                      <a:off x="0" y="0"/>
                      <a:ext cx="3134995" cy="3722370"/>
                    </a:xfrm>
                    <a:prstGeom prst="rect">
                      <a:avLst/>
                    </a:prstGeom>
                    <a:noFill/>
                    <a:ln w="9525">
                      <a:solidFill>
                        <a:schemeClr val="tx1"/>
                      </a:solidFill>
                      <a:miter lim="800000"/>
                      <a:headEnd/>
                      <a:tailEnd/>
                    </a:ln>
                  </pic:spPr>
                </pic:pic>
              </a:graphicData>
            </a:graphic>
          </wp:anchor>
        </w:drawing>
      </w: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p>
    <w:p w:rsidR="007C643D" w:rsidRDefault="007C643D" w:rsidP="007C643D"/>
    <w:p w:rsidR="004F27E2" w:rsidRDefault="004F27E2" w:rsidP="007C643D"/>
    <w:p w:rsidR="004F27E2" w:rsidRPr="00325F4F" w:rsidRDefault="004F27E2" w:rsidP="007C643D"/>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r w:rsidRPr="00325F4F">
        <w:rPr>
          <w:rFonts w:ascii="Arial" w:hAnsi="Arial" w:cs="Arial"/>
          <w:sz w:val="18"/>
          <w:szCs w:val="18"/>
        </w:rPr>
        <w:t>Percentage</w:t>
      </w:r>
      <w:r w:rsidRPr="00325F4F">
        <w:rPr>
          <w:rFonts w:ascii="Arial" w:hAnsi="Arial" w:cs="Arial"/>
          <w:b w:val="0"/>
          <w:bCs w:val="0"/>
          <w:sz w:val="18"/>
          <w:szCs w:val="18"/>
        </w:rPr>
        <w:t xml:space="preserve"> </w:t>
      </w:r>
      <w:r w:rsidRPr="00325F4F">
        <w:rPr>
          <w:rFonts w:ascii="Arial" w:hAnsi="Arial" w:cs="Arial"/>
          <w:sz w:val="18"/>
          <w:szCs w:val="18"/>
        </w:rPr>
        <w:t xml:space="preserve">of Households in Palestine by Availability of (ICT) Tools </w:t>
      </w:r>
    </w:p>
    <w:p w:rsidR="007C643D" w:rsidRPr="00325F4F" w:rsidRDefault="007C643D" w:rsidP="007C643D">
      <w:pPr>
        <w:pStyle w:val="Heading1"/>
        <w:tabs>
          <w:tab w:val="left" w:pos="3537"/>
          <w:tab w:val="left" w:pos="5433"/>
          <w:tab w:val="left" w:pos="6511"/>
          <w:tab w:val="left" w:pos="7569"/>
          <w:tab w:val="left" w:pos="10245"/>
        </w:tabs>
        <w:jc w:val="center"/>
        <w:rPr>
          <w:rFonts w:ascii="Arial" w:hAnsi="Arial" w:cs="Arial"/>
          <w:sz w:val="18"/>
          <w:szCs w:val="18"/>
        </w:rPr>
      </w:pPr>
      <w:r w:rsidRPr="00325F4F">
        <w:rPr>
          <w:rFonts w:ascii="Arial" w:hAnsi="Arial" w:cs="Arial"/>
          <w:sz w:val="18"/>
          <w:szCs w:val="18"/>
        </w:rPr>
        <w:t xml:space="preserve">at Home, </w:t>
      </w:r>
      <w:r w:rsidRPr="00325F4F">
        <w:rPr>
          <w:rFonts w:ascii="Arial" w:hAnsi="Arial" w:cs="Arial" w:hint="cs"/>
          <w:sz w:val="18"/>
          <w:szCs w:val="18"/>
          <w:rtl/>
          <w:lang w:val="en-GB"/>
        </w:rPr>
        <w:t>2018</w:t>
      </w:r>
    </w:p>
    <w:p w:rsidR="007C643D" w:rsidRPr="00325F4F" w:rsidRDefault="007C643D" w:rsidP="007C643D">
      <w:pPr>
        <w:rPr>
          <w:sz w:val="10"/>
          <w:szCs w:val="10"/>
        </w:rPr>
      </w:pPr>
    </w:p>
    <w:p w:rsidR="007C643D" w:rsidRPr="00325F4F" w:rsidRDefault="007C643D" w:rsidP="007C643D">
      <w:pPr>
        <w:jc w:val="center"/>
        <w:rPr>
          <w:rFonts w:ascii="Arial" w:hAnsi="Arial" w:cs="Arial"/>
          <w:b/>
          <w:bCs/>
          <w:szCs w:val="18"/>
        </w:rPr>
      </w:pPr>
      <w:r w:rsidRPr="00325F4F">
        <w:rPr>
          <w:rFonts w:ascii="Arial" w:hAnsi="Arial" w:cs="Arial"/>
          <w:b/>
          <w:bCs/>
          <w:noProof/>
          <w:szCs w:val="18"/>
          <w:bdr w:val="single" w:sz="4" w:space="0" w:color="auto"/>
        </w:rPr>
        <w:drawing>
          <wp:inline distT="0" distB="0" distL="0" distR="0">
            <wp:extent cx="4191000" cy="1562100"/>
            <wp:effectExtent l="0" t="0" r="0" b="0"/>
            <wp:docPr id="1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85D10" w:rsidRPr="00325F4F" w:rsidRDefault="00485D10" w:rsidP="00485D10">
      <w:pPr>
        <w:pStyle w:val="ListParagraph"/>
        <w:bidi w:val="0"/>
        <w:ind w:left="0"/>
        <w:jc w:val="lowKashida"/>
        <w:rPr>
          <w:rFonts w:cs="Times New Roman"/>
          <w:i/>
          <w:iCs/>
          <w:sz w:val="2"/>
          <w:szCs w:val="2"/>
          <w:u w:val="single"/>
        </w:rPr>
      </w:pPr>
    </w:p>
    <w:p w:rsidR="00D27191" w:rsidRPr="00325F4F" w:rsidRDefault="00D27191"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the information society, see the tables in chapter 1.</w:t>
      </w:r>
      <w:r w:rsidR="00C0209D" w:rsidRPr="00325F4F">
        <w:rPr>
          <w:rFonts w:cs="Times New Roman"/>
          <w:b/>
          <w:bCs/>
          <w:i/>
          <w:iCs/>
          <w:sz w:val="18"/>
          <w:szCs w:val="18"/>
          <w:u w:val="single"/>
        </w:rPr>
        <w:t>10</w:t>
      </w:r>
      <w:r w:rsidRPr="00325F4F">
        <w:rPr>
          <w:rFonts w:cs="Times New Roman"/>
          <w:b/>
          <w:bCs/>
          <w:i/>
          <w:iCs/>
          <w:sz w:val="18"/>
          <w:szCs w:val="18"/>
          <w:u w:val="single"/>
        </w:rPr>
        <w:t xml:space="preserve"> of the Arabic section, pages</w:t>
      </w:r>
      <w:r w:rsidRPr="00325F4F">
        <w:rPr>
          <w:rFonts w:cs="Times New Roman"/>
          <w:b/>
          <w:bCs/>
          <w:i/>
          <w:iCs/>
          <w:sz w:val="18"/>
          <w:szCs w:val="18"/>
          <w:u w:val="single"/>
          <w:rtl/>
        </w:rPr>
        <w:t xml:space="preserve"> </w:t>
      </w:r>
      <w:r w:rsidR="0015308F">
        <w:rPr>
          <w:rFonts w:cs="Times New Roman"/>
          <w:b/>
          <w:bCs/>
          <w:i/>
          <w:iCs/>
          <w:sz w:val="18"/>
          <w:szCs w:val="18"/>
          <w:u w:val="single"/>
        </w:rPr>
        <w:t>117</w:t>
      </w:r>
      <w:r w:rsidRPr="00325F4F">
        <w:rPr>
          <w:rFonts w:cs="Times New Roman"/>
          <w:b/>
          <w:bCs/>
          <w:i/>
          <w:iCs/>
          <w:sz w:val="18"/>
          <w:szCs w:val="18"/>
          <w:u w:val="single"/>
        </w:rPr>
        <w:t>-</w:t>
      </w:r>
      <w:r w:rsidR="0015308F">
        <w:rPr>
          <w:rFonts w:cs="Times New Roman"/>
          <w:b/>
          <w:bCs/>
          <w:i/>
          <w:iCs/>
          <w:sz w:val="18"/>
          <w:szCs w:val="18"/>
          <w:u w:val="single"/>
        </w:rPr>
        <w:t>126</w:t>
      </w:r>
      <w:r w:rsidRPr="00325F4F">
        <w:rPr>
          <w:rFonts w:cs="Times New Roman"/>
          <w:b/>
          <w:bCs/>
          <w:i/>
          <w:iCs/>
          <w:sz w:val="18"/>
          <w:szCs w:val="18"/>
          <w:u w:val="single"/>
        </w:rPr>
        <w:t>.</w:t>
      </w:r>
    </w:p>
    <w:p w:rsidR="00841227" w:rsidRDefault="00841227">
      <w:pPr>
        <w:overflowPunct/>
        <w:autoSpaceDE/>
        <w:autoSpaceDN/>
        <w:adjustRightInd/>
        <w:textAlignment w:val="auto"/>
        <w:rPr>
          <w:rFonts w:cs="Traditional Arabic"/>
          <w:b/>
          <w:bCs/>
          <w:noProof/>
        </w:rPr>
      </w:pPr>
      <w:r>
        <w:rPr>
          <w:rFonts w:cs="Traditional Arabic"/>
        </w:rPr>
        <w:br w:type="page"/>
      </w:r>
    </w:p>
    <w:p w:rsidR="00EB1A1F" w:rsidRPr="00325F4F" w:rsidRDefault="00C0209D" w:rsidP="00332048">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lastRenderedPageBreak/>
        <w:drawing>
          <wp:anchor distT="0" distB="0" distL="114300" distR="114300" simplePos="0" relativeHeight="251682816" behindDoc="0" locked="0" layoutInCell="1" allowOverlap="1">
            <wp:simplePos x="0" y="0"/>
            <wp:positionH relativeFrom="column">
              <wp:posOffset>1870710</wp:posOffset>
            </wp:positionH>
            <wp:positionV relativeFrom="paragraph">
              <wp:posOffset>80010</wp:posOffset>
            </wp:positionV>
            <wp:extent cx="2908300" cy="3994150"/>
            <wp:effectExtent l="19050" t="19050" r="25400" b="25400"/>
            <wp:wrapSquare wrapText="bothSides"/>
            <wp:docPr id="10" name="Picture 2" descr="G:\بعد ادخال المواد عليه كتاب فلسطين الاحصائي 2017\الخرائط  الاحصائية 2017\الخرائط 2017\Garden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بعد ادخال المواد عليه كتاب فلسطين الاحصائي 2017\الخرائط  الاحصائية 2017\الخرائط 2017\Garden_En.png"/>
                    <pic:cNvPicPr>
                      <a:picLocks noChangeAspect="1" noChangeArrowheads="1"/>
                    </pic:cNvPicPr>
                  </pic:nvPicPr>
                  <pic:blipFill>
                    <a:blip r:embed="rId21"/>
                    <a:srcRect l="10175" t="4971" r="9474" b="16868"/>
                    <a:stretch>
                      <a:fillRect/>
                    </a:stretch>
                  </pic:blipFill>
                  <pic:spPr bwMode="auto">
                    <a:xfrm>
                      <a:off x="0" y="0"/>
                      <a:ext cx="2908300" cy="3994150"/>
                    </a:xfrm>
                    <a:prstGeom prst="rect">
                      <a:avLst/>
                    </a:prstGeom>
                    <a:noFill/>
                    <a:ln w="9525">
                      <a:solidFill>
                        <a:schemeClr val="tx1"/>
                      </a:solidFill>
                      <a:miter lim="800000"/>
                      <a:headEnd/>
                      <a:tailEnd/>
                    </a:ln>
                  </pic:spPr>
                </pic:pic>
              </a:graphicData>
            </a:graphic>
          </wp:anchor>
        </w:drawing>
      </w:r>
      <w:r w:rsidR="008D1EBD" w:rsidRPr="00325F4F">
        <w:rPr>
          <w:rFonts w:cs="Traditional Arabic"/>
          <w:sz w:val="20"/>
          <w:szCs w:val="20"/>
        </w:rPr>
        <w:t xml:space="preserve">Agriculture and </w:t>
      </w:r>
      <w:r w:rsidR="00EB1A1F" w:rsidRPr="00325F4F">
        <w:rPr>
          <w:rFonts w:cs="Traditional Arabic"/>
          <w:sz w:val="20"/>
          <w:szCs w:val="20"/>
        </w:rPr>
        <w:t>Land Use</w:t>
      </w:r>
    </w:p>
    <w:p w:rsidR="008225F0" w:rsidRPr="00325F4F" w:rsidRDefault="008225F0" w:rsidP="000547E8">
      <w:pPr>
        <w:pStyle w:val="BodyText2"/>
        <w:numPr>
          <w:ilvl w:val="0"/>
          <w:numId w:val="2"/>
        </w:numPr>
        <w:overflowPunct/>
        <w:autoSpaceDE/>
        <w:autoSpaceDN/>
        <w:adjustRightInd/>
        <w:spacing w:after="120"/>
        <w:ind w:left="266" w:hanging="266"/>
        <w:textAlignment w:val="auto"/>
        <w:rPr>
          <w:noProof/>
        </w:rPr>
      </w:pPr>
      <w:r w:rsidRPr="00325F4F">
        <w:rPr>
          <w:noProof/>
        </w:rPr>
        <w:t>There were 32,177 animal</w:t>
      </w:r>
      <w:r w:rsidR="00C302AD">
        <w:rPr>
          <w:noProof/>
        </w:rPr>
        <w:t>s</w:t>
      </w:r>
      <w:r w:rsidRPr="00325F4F">
        <w:rPr>
          <w:noProof/>
        </w:rPr>
        <w:t xml:space="preserve"> and mixed holdings in Palestine</w:t>
      </w:r>
      <w:r w:rsidR="000547E8">
        <w:rPr>
          <w:noProof/>
        </w:rPr>
        <w:t>;</w:t>
      </w:r>
      <w:r w:rsidR="000547E8" w:rsidRPr="00325F4F">
        <w:rPr>
          <w:noProof/>
        </w:rPr>
        <w:t xml:space="preserve"> 25,676 </w:t>
      </w:r>
      <w:r w:rsidRPr="00325F4F">
        <w:rPr>
          <w:noProof/>
        </w:rPr>
        <w:t xml:space="preserve">of </w:t>
      </w:r>
      <w:r w:rsidR="00926CEA" w:rsidRPr="00325F4F">
        <w:rPr>
          <w:noProof/>
        </w:rPr>
        <w:t xml:space="preserve">which </w:t>
      </w:r>
      <w:r w:rsidRPr="00325F4F">
        <w:rPr>
          <w:noProof/>
        </w:rPr>
        <w:t>were in the West Bank (79.8%) and 6,501 in Gaza Strip (20.2%) during the agricultural year 201</w:t>
      </w:r>
      <w:r w:rsidRPr="00325F4F">
        <w:rPr>
          <w:noProof/>
          <w:rtl/>
        </w:rPr>
        <w:t>2</w:t>
      </w:r>
      <w:r w:rsidRPr="00325F4F">
        <w:rPr>
          <w:noProof/>
        </w:rPr>
        <w:t>/201</w:t>
      </w:r>
      <w:r w:rsidRPr="00325F4F">
        <w:rPr>
          <w:noProof/>
          <w:rtl/>
        </w:rPr>
        <w:t>3</w:t>
      </w:r>
      <w:r w:rsidRPr="00325F4F">
        <w:rPr>
          <w:noProof/>
        </w:rPr>
        <w:t>.</w:t>
      </w:r>
    </w:p>
    <w:p w:rsidR="00DC4287" w:rsidRPr="00325F4F" w:rsidRDefault="00DC4287" w:rsidP="00332048">
      <w:pPr>
        <w:pStyle w:val="BodyText2"/>
        <w:numPr>
          <w:ilvl w:val="0"/>
          <w:numId w:val="2"/>
        </w:numPr>
        <w:overflowPunct/>
        <w:autoSpaceDE/>
        <w:autoSpaceDN/>
        <w:adjustRightInd/>
        <w:spacing w:after="120"/>
        <w:ind w:left="266" w:hanging="266"/>
        <w:textAlignment w:val="auto"/>
        <w:rPr>
          <w:noProof/>
        </w:rPr>
      </w:pPr>
      <w:r w:rsidRPr="00325F4F">
        <w:rPr>
          <w:noProof/>
        </w:rPr>
        <w:t xml:space="preserve">There were </w:t>
      </w:r>
      <w:r w:rsidR="008225F0" w:rsidRPr="00325F4F">
        <w:rPr>
          <w:noProof/>
        </w:rPr>
        <w:t>12,167</w:t>
      </w:r>
      <w:r w:rsidRPr="00325F4F">
        <w:rPr>
          <w:noProof/>
        </w:rPr>
        <w:t xml:space="preserve"> </w:t>
      </w:r>
      <w:r w:rsidR="008225F0" w:rsidRPr="00325F4F">
        <w:rPr>
          <w:noProof/>
        </w:rPr>
        <w:t>animal</w:t>
      </w:r>
      <w:r w:rsidR="00C302AD">
        <w:rPr>
          <w:noProof/>
        </w:rPr>
        <w:t>s</w:t>
      </w:r>
      <w:r w:rsidRPr="00325F4F">
        <w:rPr>
          <w:noProof/>
        </w:rPr>
        <w:t xml:space="preserve"> holdings constitut</w:t>
      </w:r>
      <w:r w:rsidR="00711258" w:rsidRPr="00325F4F">
        <w:rPr>
          <w:noProof/>
        </w:rPr>
        <w:t>ing</w:t>
      </w:r>
      <w:r w:rsidRPr="00325F4F">
        <w:rPr>
          <w:noProof/>
        </w:rPr>
        <w:t xml:space="preserve"> </w:t>
      </w:r>
      <w:r w:rsidR="008225F0" w:rsidRPr="00325F4F">
        <w:rPr>
          <w:noProof/>
        </w:rPr>
        <w:t>37.8</w:t>
      </w:r>
      <w:r w:rsidRPr="00325F4F">
        <w:rPr>
          <w:noProof/>
        </w:rPr>
        <w:t xml:space="preserve">% of </w:t>
      </w:r>
      <w:r w:rsidR="008225F0" w:rsidRPr="00325F4F">
        <w:rPr>
          <w:noProof/>
        </w:rPr>
        <w:t>animal and mixed</w:t>
      </w:r>
      <w:r w:rsidRPr="00325F4F">
        <w:rPr>
          <w:noProof/>
        </w:rPr>
        <w:t xml:space="preserve"> holdings in </w:t>
      </w:r>
      <w:r w:rsidR="0021776D" w:rsidRPr="00325F4F">
        <w:rPr>
          <w:noProof/>
        </w:rPr>
        <w:t>Palestine</w:t>
      </w:r>
      <w:r w:rsidRPr="00325F4F">
        <w:rPr>
          <w:noProof/>
        </w:rPr>
        <w:t xml:space="preserve">. There were </w:t>
      </w:r>
      <w:r w:rsidR="008225F0" w:rsidRPr="00325F4F">
        <w:rPr>
          <w:noProof/>
        </w:rPr>
        <w:t>20,010</w:t>
      </w:r>
      <w:r w:rsidRPr="00325F4F">
        <w:rPr>
          <w:noProof/>
        </w:rPr>
        <w:t xml:space="preserve"> mixed holdings constitut</w:t>
      </w:r>
      <w:r w:rsidR="00711258" w:rsidRPr="00325F4F">
        <w:rPr>
          <w:noProof/>
        </w:rPr>
        <w:t>ing</w:t>
      </w:r>
      <w:r w:rsidRPr="00325F4F">
        <w:rPr>
          <w:noProof/>
        </w:rPr>
        <w:t xml:space="preserve"> </w:t>
      </w:r>
      <w:r w:rsidR="008225F0" w:rsidRPr="00325F4F">
        <w:rPr>
          <w:noProof/>
        </w:rPr>
        <w:t>62.2</w:t>
      </w:r>
      <w:r w:rsidRPr="00325F4F">
        <w:rPr>
          <w:noProof/>
        </w:rPr>
        <w:t xml:space="preserve">% of </w:t>
      </w:r>
      <w:r w:rsidR="008225F0" w:rsidRPr="00325F4F">
        <w:rPr>
          <w:noProof/>
        </w:rPr>
        <w:t>animal and mixed</w:t>
      </w:r>
      <w:r w:rsidRPr="00325F4F">
        <w:rPr>
          <w:noProof/>
        </w:rPr>
        <w:t xml:space="preserve"> holdings</w:t>
      </w:r>
      <w:r w:rsidR="008225F0" w:rsidRPr="00325F4F">
        <w:rPr>
          <w:noProof/>
        </w:rPr>
        <w:t xml:space="preserve"> during</w:t>
      </w:r>
      <w:r w:rsidRPr="00325F4F">
        <w:rPr>
          <w:noProof/>
        </w:rPr>
        <w:t xml:space="preserve"> the agricultural year </w:t>
      </w:r>
      <w:r w:rsidR="008225F0" w:rsidRPr="00325F4F">
        <w:rPr>
          <w:noProof/>
        </w:rPr>
        <w:t>2012</w:t>
      </w:r>
      <w:r w:rsidRPr="00325F4F">
        <w:rPr>
          <w:noProof/>
        </w:rPr>
        <w:t>/</w:t>
      </w:r>
      <w:r w:rsidR="008225F0" w:rsidRPr="00325F4F">
        <w:rPr>
          <w:noProof/>
        </w:rPr>
        <w:t>2013</w:t>
      </w:r>
      <w:r w:rsidRPr="00325F4F">
        <w:rPr>
          <w:noProof/>
        </w:rPr>
        <w:t>.</w:t>
      </w:r>
    </w:p>
    <w:p w:rsidR="00F334E1" w:rsidRPr="00325F4F" w:rsidRDefault="007C0C59" w:rsidP="00D71FFC">
      <w:pPr>
        <w:pStyle w:val="BodyText2"/>
        <w:numPr>
          <w:ilvl w:val="0"/>
          <w:numId w:val="2"/>
        </w:numPr>
        <w:overflowPunct/>
        <w:autoSpaceDE/>
        <w:autoSpaceDN/>
        <w:adjustRightInd/>
        <w:spacing w:after="120"/>
        <w:ind w:left="266" w:hanging="266"/>
        <w:textAlignment w:val="auto"/>
        <w:rPr>
          <w:noProof/>
        </w:rPr>
      </w:pPr>
      <w:r w:rsidRPr="00325F4F">
        <w:rPr>
          <w:noProof/>
        </w:rPr>
        <w:t>There w</w:t>
      </w:r>
      <w:r w:rsidR="00F334E1" w:rsidRPr="00325F4F">
        <w:rPr>
          <w:noProof/>
        </w:rPr>
        <w:t xml:space="preserve">ere 33,980 </w:t>
      </w:r>
      <w:r w:rsidR="00B92D78" w:rsidRPr="00325F4F">
        <w:rPr>
          <w:noProof/>
        </w:rPr>
        <w:t>cows</w:t>
      </w:r>
      <w:r w:rsidR="00F334E1" w:rsidRPr="00325F4F">
        <w:rPr>
          <w:noProof/>
        </w:rPr>
        <w:t xml:space="preserve"> </w:t>
      </w:r>
      <w:r w:rsidR="000A426B" w:rsidRPr="00325F4F">
        <w:rPr>
          <w:noProof/>
        </w:rPr>
        <w:t xml:space="preserve">in Palestine </w:t>
      </w:r>
      <w:r w:rsidR="00F334E1" w:rsidRPr="00325F4F">
        <w:rPr>
          <w:noProof/>
        </w:rPr>
        <w:t xml:space="preserve">on 01/10/2013. </w:t>
      </w:r>
    </w:p>
    <w:p w:rsidR="00F334E1" w:rsidRPr="00325F4F" w:rsidRDefault="00F334E1" w:rsidP="00D71FFC">
      <w:pPr>
        <w:pStyle w:val="BodyText2"/>
        <w:numPr>
          <w:ilvl w:val="0"/>
          <w:numId w:val="2"/>
        </w:numPr>
        <w:overflowPunct/>
        <w:autoSpaceDE/>
        <w:autoSpaceDN/>
        <w:adjustRightInd/>
        <w:spacing w:after="120"/>
        <w:ind w:left="266" w:hanging="266"/>
        <w:textAlignment w:val="auto"/>
        <w:rPr>
          <w:noProof/>
        </w:rPr>
      </w:pPr>
      <w:r w:rsidRPr="00325F4F">
        <w:rPr>
          <w:noProof/>
        </w:rPr>
        <w:t>There were 730,894 sheep in Palestine</w:t>
      </w:r>
      <w:r w:rsidR="000A426B" w:rsidRPr="00325F4F">
        <w:rPr>
          <w:noProof/>
        </w:rPr>
        <w:t xml:space="preserve"> </w:t>
      </w:r>
      <w:r w:rsidRPr="00325F4F">
        <w:rPr>
          <w:noProof/>
        </w:rPr>
        <w:t xml:space="preserve">on 01/10/2013.  </w:t>
      </w:r>
    </w:p>
    <w:p w:rsidR="000A426B" w:rsidRPr="00325F4F" w:rsidRDefault="00F334E1" w:rsidP="00D71FFC">
      <w:pPr>
        <w:pStyle w:val="BodyText2"/>
        <w:numPr>
          <w:ilvl w:val="0"/>
          <w:numId w:val="2"/>
        </w:numPr>
        <w:overflowPunct/>
        <w:autoSpaceDE/>
        <w:autoSpaceDN/>
        <w:adjustRightInd/>
        <w:spacing w:after="120"/>
        <w:ind w:left="266" w:hanging="266"/>
        <w:textAlignment w:val="auto"/>
        <w:rPr>
          <w:noProof/>
        </w:rPr>
      </w:pPr>
      <w:r w:rsidRPr="00325F4F">
        <w:rPr>
          <w:noProof/>
        </w:rPr>
        <w:t>There were 215,335 goats in Palestine</w:t>
      </w:r>
      <w:r w:rsidR="000A426B" w:rsidRPr="00325F4F">
        <w:rPr>
          <w:noProof/>
        </w:rPr>
        <w:t xml:space="preserve"> </w:t>
      </w:r>
      <w:r w:rsidRPr="00325F4F">
        <w:rPr>
          <w:noProof/>
        </w:rPr>
        <w:t>on 01/10/</w:t>
      </w:r>
      <w:r w:rsidR="00B02992" w:rsidRPr="00325F4F">
        <w:rPr>
          <w:noProof/>
        </w:rPr>
        <w:t>2013</w:t>
      </w:r>
      <w:r w:rsidRPr="00325F4F">
        <w:rPr>
          <w:noProof/>
        </w:rPr>
        <w:t>.</w:t>
      </w:r>
      <w:r w:rsidR="000A426B" w:rsidRPr="00325F4F">
        <w:rPr>
          <w:noProof/>
        </w:rPr>
        <w:t xml:space="preserve"> </w:t>
      </w:r>
    </w:p>
    <w:p w:rsidR="000A426B" w:rsidRPr="00325F4F" w:rsidRDefault="000A426B" w:rsidP="000547E8">
      <w:pPr>
        <w:pStyle w:val="BodyText2"/>
        <w:numPr>
          <w:ilvl w:val="0"/>
          <w:numId w:val="2"/>
        </w:numPr>
        <w:overflowPunct/>
        <w:autoSpaceDE/>
        <w:autoSpaceDN/>
        <w:adjustRightInd/>
        <w:spacing w:after="120"/>
        <w:ind w:left="266" w:hanging="266"/>
        <w:textAlignment w:val="auto"/>
        <w:rPr>
          <w:noProof/>
        </w:rPr>
      </w:pPr>
      <w:r w:rsidRPr="00325F4F">
        <w:rPr>
          <w:noProof/>
        </w:rPr>
        <w:t>10.0% of households in Palestine reared livestock (domestic) as on 24/03/2015.</w:t>
      </w:r>
    </w:p>
    <w:p w:rsidR="006418EE" w:rsidRPr="00325F4F" w:rsidRDefault="006418EE" w:rsidP="00332048">
      <w:pPr>
        <w:pStyle w:val="BodyText2"/>
        <w:numPr>
          <w:ilvl w:val="0"/>
          <w:numId w:val="2"/>
        </w:numPr>
        <w:overflowPunct/>
        <w:autoSpaceDE/>
        <w:autoSpaceDN/>
        <w:adjustRightInd/>
        <w:spacing w:after="120"/>
        <w:ind w:left="266" w:hanging="266"/>
        <w:textAlignment w:val="auto"/>
        <w:rPr>
          <w:noProof/>
        </w:rPr>
      </w:pPr>
      <w:r w:rsidRPr="00325F4F">
        <w:rPr>
          <w:noProof/>
        </w:rPr>
        <w:t xml:space="preserve">27.4% of households in Palestine </w:t>
      </w:r>
      <w:r w:rsidR="00CF4D0E" w:rsidRPr="00325F4F">
        <w:rPr>
          <w:noProof/>
        </w:rPr>
        <w:t xml:space="preserve">had </w:t>
      </w:r>
      <w:r w:rsidRPr="00325F4F">
        <w:rPr>
          <w:noProof/>
        </w:rPr>
        <w:t>a garden as on 24/03/2015.</w:t>
      </w:r>
    </w:p>
    <w:p w:rsidR="006418EE" w:rsidRPr="00325F4F" w:rsidRDefault="006418EE" w:rsidP="0065477F">
      <w:pPr>
        <w:pStyle w:val="BodyText2"/>
        <w:numPr>
          <w:ilvl w:val="0"/>
          <w:numId w:val="2"/>
        </w:numPr>
        <w:overflowPunct/>
        <w:autoSpaceDE/>
        <w:autoSpaceDN/>
        <w:adjustRightInd/>
        <w:spacing w:after="120"/>
        <w:ind w:left="266" w:hanging="266"/>
        <w:textAlignment w:val="auto"/>
        <w:rPr>
          <w:noProof/>
        </w:rPr>
      </w:pPr>
      <w:r w:rsidRPr="00325F4F">
        <w:rPr>
          <w:noProof/>
        </w:rPr>
        <w:t xml:space="preserve">91.9% of households </w:t>
      </w:r>
      <w:r w:rsidR="0065477F" w:rsidRPr="00325F4F">
        <w:rPr>
          <w:noProof/>
        </w:rPr>
        <w:t xml:space="preserve">in Palestine </w:t>
      </w:r>
      <w:r w:rsidR="00680CE9" w:rsidRPr="00325F4F">
        <w:rPr>
          <w:noProof/>
        </w:rPr>
        <w:t xml:space="preserve">were </w:t>
      </w:r>
      <w:r w:rsidRPr="00325F4F">
        <w:rPr>
          <w:noProof/>
        </w:rPr>
        <w:t>with a garden utilized for agricultural activity during agricultural year 2013/2014.</w:t>
      </w:r>
    </w:p>
    <w:p w:rsidR="00807EAD" w:rsidRPr="00325F4F" w:rsidRDefault="00807EAD" w:rsidP="00807EAD">
      <w:pPr>
        <w:pStyle w:val="BodyText2"/>
        <w:numPr>
          <w:ilvl w:val="0"/>
          <w:numId w:val="2"/>
        </w:numPr>
        <w:overflowPunct/>
        <w:autoSpaceDE/>
        <w:autoSpaceDN/>
        <w:adjustRightInd/>
        <w:spacing w:after="120"/>
        <w:ind w:left="266" w:hanging="266"/>
        <w:textAlignment w:val="auto"/>
        <w:rPr>
          <w:noProof/>
        </w:rPr>
      </w:pPr>
      <w:r w:rsidRPr="00325F4F">
        <w:rPr>
          <w:noProof/>
        </w:rPr>
        <w:t xml:space="preserve">The total quantity of pressed olives in 2018 was 59,344.8 metric tons and the quantity of extracted oil was 14,740.4 metric tons. </w:t>
      </w:r>
    </w:p>
    <w:p w:rsidR="00807EAD" w:rsidRPr="00325F4F" w:rsidRDefault="00807EAD" w:rsidP="00807EAD">
      <w:pPr>
        <w:pStyle w:val="BodyText2"/>
        <w:numPr>
          <w:ilvl w:val="0"/>
          <w:numId w:val="2"/>
        </w:numPr>
        <w:overflowPunct/>
        <w:autoSpaceDE/>
        <w:autoSpaceDN/>
        <w:adjustRightInd/>
        <w:spacing w:after="120"/>
        <w:ind w:left="266" w:hanging="266"/>
        <w:textAlignment w:val="auto"/>
        <w:rPr>
          <w:noProof/>
        </w:rPr>
      </w:pPr>
      <w:r w:rsidRPr="00325F4F">
        <w:rPr>
          <w:noProof/>
        </w:rPr>
        <w:t>The value added of olive pressing activity totaled USD 6.9 million, while the intermediate consumption and output of olive presses totaled USD 2.0 million and USD 8.9 million respectively.</w:t>
      </w:r>
    </w:p>
    <w:p w:rsidR="00C0209D" w:rsidRPr="00325F4F" w:rsidRDefault="00C0209D" w:rsidP="00DB6ADE">
      <w:pPr>
        <w:pStyle w:val="ListParagraph"/>
        <w:bidi w:val="0"/>
        <w:ind w:left="0"/>
        <w:jc w:val="lowKashida"/>
        <w:rPr>
          <w:rFonts w:cs="Times New Roman"/>
          <w:i/>
          <w:iCs/>
          <w:sz w:val="20"/>
          <w:u w:val="single"/>
          <w:rtl/>
        </w:rPr>
      </w:pPr>
    </w:p>
    <w:p w:rsidR="00020126" w:rsidRPr="00325F4F" w:rsidRDefault="009C673D"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w:t>
      </w:r>
      <w:r w:rsidR="00D9796F" w:rsidRPr="00325F4F">
        <w:rPr>
          <w:rFonts w:cs="Times New Roman"/>
          <w:b/>
          <w:bCs/>
          <w:i/>
          <w:iCs/>
          <w:sz w:val="18"/>
          <w:szCs w:val="18"/>
          <w:u w:val="single"/>
        </w:rPr>
        <w:t>s</w:t>
      </w:r>
      <w:r w:rsidRPr="00325F4F">
        <w:rPr>
          <w:rFonts w:cs="Times New Roman"/>
          <w:b/>
          <w:bCs/>
          <w:i/>
          <w:iCs/>
          <w:sz w:val="18"/>
          <w:szCs w:val="18"/>
          <w:u w:val="single"/>
        </w:rPr>
        <w:t xml:space="preserve"> </w:t>
      </w:r>
      <w:r w:rsidR="00FA6A6A" w:rsidRPr="00325F4F">
        <w:rPr>
          <w:rFonts w:cs="Times New Roman"/>
          <w:b/>
          <w:bCs/>
          <w:i/>
          <w:iCs/>
          <w:sz w:val="18"/>
          <w:szCs w:val="18"/>
          <w:u w:val="single"/>
        </w:rPr>
        <w:t xml:space="preserve">on </w:t>
      </w:r>
      <w:r w:rsidR="00D9796F" w:rsidRPr="00325F4F">
        <w:rPr>
          <w:rFonts w:cs="Times New Roman"/>
          <w:b/>
          <w:bCs/>
          <w:i/>
          <w:iCs/>
          <w:sz w:val="18"/>
          <w:szCs w:val="18"/>
          <w:u w:val="single"/>
        </w:rPr>
        <w:t>a</w:t>
      </w:r>
      <w:r w:rsidRPr="00325F4F">
        <w:rPr>
          <w:rFonts w:cs="Times New Roman"/>
          <w:b/>
          <w:bCs/>
          <w:i/>
          <w:iCs/>
          <w:sz w:val="18"/>
          <w:szCs w:val="18"/>
          <w:u w:val="single"/>
        </w:rPr>
        <w:t xml:space="preserve">griculture and </w:t>
      </w:r>
      <w:r w:rsidR="00D9796F" w:rsidRPr="00325F4F">
        <w:rPr>
          <w:rFonts w:cs="Times New Roman"/>
          <w:b/>
          <w:bCs/>
          <w:i/>
          <w:iCs/>
          <w:sz w:val="18"/>
          <w:szCs w:val="18"/>
          <w:u w:val="single"/>
        </w:rPr>
        <w:t>l</w:t>
      </w:r>
      <w:r w:rsidRPr="00325F4F">
        <w:rPr>
          <w:rFonts w:cs="Times New Roman"/>
          <w:b/>
          <w:bCs/>
          <w:i/>
          <w:iCs/>
          <w:sz w:val="18"/>
          <w:szCs w:val="18"/>
          <w:u w:val="single"/>
        </w:rPr>
        <w:t xml:space="preserve">and </w:t>
      </w:r>
      <w:r w:rsidR="00D9796F" w:rsidRPr="00325F4F">
        <w:rPr>
          <w:rFonts w:cs="Times New Roman"/>
          <w:b/>
          <w:bCs/>
          <w:i/>
          <w:iCs/>
          <w:sz w:val="18"/>
          <w:szCs w:val="18"/>
          <w:u w:val="single"/>
        </w:rPr>
        <w:t>u</w:t>
      </w:r>
      <w:r w:rsidRPr="00325F4F">
        <w:rPr>
          <w:rFonts w:cs="Times New Roman"/>
          <w:b/>
          <w:bCs/>
          <w:i/>
          <w:iCs/>
          <w:sz w:val="18"/>
          <w:szCs w:val="18"/>
          <w:u w:val="single"/>
        </w:rPr>
        <w:t>se</w:t>
      </w:r>
      <w:r w:rsidR="00D9796F" w:rsidRPr="00325F4F">
        <w:rPr>
          <w:rFonts w:cs="Times New Roman"/>
          <w:b/>
          <w:bCs/>
          <w:i/>
          <w:iCs/>
          <w:sz w:val="18"/>
          <w:szCs w:val="18"/>
          <w:u w:val="single"/>
        </w:rPr>
        <w:t>,</w:t>
      </w:r>
      <w:r w:rsidRPr="00325F4F">
        <w:rPr>
          <w:rFonts w:cs="Times New Roman"/>
          <w:b/>
          <w:bCs/>
          <w:i/>
          <w:iCs/>
          <w:sz w:val="18"/>
          <w:szCs w:val="18"/>
          <w:u w:val="single"/>
        </w:rPr>
        <w:t xml:space="preserve"> </w:t>
      </w:r>
      <w:r w:rsidR="0037009A" w:rsidRPr="00325F4F">
        <w:rPr>
          <w:rFonts w:cs="Times New Roman"/>
          <w:b/>
          <w:bCs/>
          <w:i/>
          <w:iCs/>
          <w:sz w:val="18"/>
          <w:szCs w:val="18"/>
          <w:u w:val="single"/>
        </w:rPr>
        <w:t xml:space="preserve">see </w:t>
      </w:r>
      <w:r w:rsidR="00D9796F" w:rsidRPr="00325F4F">
        <w:rPr>
          <w:rFonts w:cs="Times New Roman"/>
          <w:b/>
          <w:bCs/>
          <w:i/>
          <w:iCs/>
          <w:sz w:val="18"/>
          <w:szCs w:val="18"/>
          <w:u w:val="single"/>
        </w:rPr>
        <w:t xml:space="preserve">the </w:t>
      </w:r>
      <w:r w:rsidR="0037009A" w:rsidRPr="00325F4F">
        <w:rPr>
          <w:rFonts w:cs="Times New Roman"/>
          <w:b/>
          <w:bCs/>
          <w:i/>
          <w:iCs/>
          <w:sz w:val="18"/>
          <w:szCs w:val="18"/>
          <w:u w:val="single"/>
        </w:rPr>
        <w:t xml:space="preserve">tables </w:t>
      </w:r>
      <w:r w:rsidRPr="00325F4F">
        <w:rPr>
          <w:rFonts w:cs="Times New Roman"/>
          <w:b/>
          <w:bCs/>
          <w:i/>
          <w:iCs/>
          <w:sz w:val="18"/>
          <w:szCs w:val="18"/>
          <w:u w:val="single"/>
        </w:rPr>
        <w:t xml:space="preserve">in chapter </w:t>
      </w:r>
      <w:r w:rsidR="00C0209D" w:rsidRPr="00325F4F">
        <w:rPr>
          <w:rFonts w:cs="Times New Roman" w:hint="cs"/>
          <w:b/>
          <w:bCs/>
          <w:i/>
          <w:iCs/>
          <w:sz w:val="18"/>
          <w:szCs w:val="18"/>
          <w:u w:val="single"/>
          <w:rtl/>
        </w:rPr>
        <w:t>1.11</w:t>
      </w:r>
      <w:r w:rsidRPr="00325F4F">
        <w:rPr>
          <w:rFonts w:cs="Times New Roman"/>
          <w:b/>
          <w:bCs/>
          <w:i/>
          <w:iCs/>
          <w:sz w:val="18"/>
          <w:szCs w:val="18"/>
          <w:u w:val="single"/>
        </w:rPr>
        <w:t xml:space="preserve"> </w:t>
      </w:r>
      <w:r w:rsidR="00D9796F" w:rsidRPr="00325F4F">
        <w:rPr>
          <w:rFonts w:cs="Times New Roman"/>
          <w:b/>
          <w:bCs/>
          <w:i/>
          <w:iCs/>
          <w:sz w:val="18"/>
          <w:szCs w:val="18"/>
          <w:u w:val="single"/>
        </w:rPr>
        <w:t>of the</w:t>
      </w:r>
      <w:r w:rsidRPr="00325F4F">
        <w:rPr>
          <w:rFonts w:cs="Times New Roman"/>
          <w:b/>
          <w:bCs/>
          <w:i/>
          <w:iCs/>
          <w:sz w:val="18"/>
          <w:szCs w:val="18"/>
          <w:u w:val="single"/>
        </w:rPr>
        <w:t xml:space="preserve"> Ar</w:t>
      </w:r>
      <w:r w:rsidR="00D9796F" w:rsidRPr="00325F4F">
        <w:rPr>
          <w:rFonts w:cs="Times New Roman"/>
          <w:b/>
          <w:bCs/>
          <w:i/>
          <w:iCs/>
          <w:sz w:val="18"/>
          <w:szCs w:val="18"/>
          <w:u w:val="single"/>
        </w:rPr>
        <w:t>a</w:t>
      </w:r>
      <w:r w:rsidRPr="00325F4F">
        <w:rPr>
          <w:rFonts w:cs="Times New Roman"/>
          <w:b/>
          <w:bCs/>
          <w:i/>
          <w:iCs/>
          <w:sz w:val="18"/>
          <w:szCs w:val="18"/>
          <w:u w:val="single"/>
        </w:rPr>
        <w:t xml:space="preserve">bic </w:t>
      </w:r>
      <w:r w:rsidR="00D9796F" w:rsidRPr="00325F4F">
        <w:rPr>
          <w:rFonts w:cs="Times New Roman"/>
          <w:b/>
          <w:bCs/>
          <w:i/>
          <w:iCs/>
          <w:sz w:val="18"/>
          <w:szCs w:val="18"/>
          <w:u w:val="single"/>
        </w:rPr>
        <w:t>section, p</w:t>
      </w:r>
      <w:r w:rsidRPr="00325F4F">
        <w:rPr>
          <w:rFonts w:cs="Times New Roman"/>
          <w:b/>
          <w:bCs/>
          <w:i/>
          <w:iCs/>
          <w:sz w:val="18"/>
          <w:szCs w:val="18"/>
          <w:u w:val="single"/>
        </w:rPr>
        <w:t>age</w:t>
      </w:r>
      <w:r w:rsidR="00D9796F" w:rsidRPr="00325F4F">
        <w:rPr>
          <w:rFonts w:cs="Times New Roman"/>
          <w:b/>
          <w:bCs/>
          <w:i/>
          <w:iCs/>
          <w:sz w:val="18"/>
          <w:szCs w:val="18"/>
          <w:u w:val="single"/>
        </w:rPr>
        <w:t>s</w:t>
      </w:r>
      <w:r w:rsidR="006A480D" w:rsidRPr="00325F4F">
        <w:rPr>
          <w:rFonts w:cs="Times New Roman"/>
          <w:b/>
          <w:bCs/>
          <w:i/>
          <w:iCs/>
          <w:sz w:val="18"/>
          <w:szCs w:val="18"/>
          <w:u w:val="single"/>
        </w:rPr>
        <w:t xml:space="preserve"> </w:t>
      </w:r>
      <w:r w:rsidR="0015308F">
        <w:rPr>
          <w:rFonts w:cs="Times New Roman" w:hint="cs"/>
          <w:b/>
          <w:bCs/>
          <w:i/>
          <w:iCs/>
          <w:sz w:val="18"/>
          <w:szCs w:val="18"/>
          <w:u w:val="single"/>
          <w:rtl/>
        </w:rPr>
        <w:t>127</w:t>
      </w:r>
      <w:r w:rsidR="006A480D" w:rsidRPr="00325F4F">
        <w:rPr>
          <w:rFonts w:cs="Times New Roman"/>
          <w:b/>
          <w:bCs/>
          <w:i/>
          <w:iCs/>
          <w:sz w:val="18"/>
          <w:szCs w:val="18"/>
          <w:u w:val="single"/>
        </w:rPr>
        <w:t>-</w:t>
      </w:r>
      <w:r w:rsidR="0015308F">
        <w:rPr>
          <w:rFonts w:cs="Times New Roman" w:hint="cs"/>
          <w:b/>
          <w:bCs/>
          <w:i/>
          <w:iCs/>
          <w:sz w:val="18"/>
          <w:szCs w:val="18"/>
          <w:u w:val="single"/>
          <w:rtl/>
        </w:rPr>
        <w:t>142</w:t>
      </w:r>
      <w:r w:rsidR="00D9796F" w:rsidRPr="00325F4F">
        <w:rPr>
          <w:rFonts w:cs="Times New Roman"/>
          <w:b/>
          <w:bCs/>
          <w:i/>
          <w:iCs/>
          <w:sz w:val="18"/>
          <w:szCs w:val="18"/>
          <w:u w:val="single"/>
        </w:rPr>
        <w:t>.</w:t>
      </w:r>
    </w:p>
    <w:p w:rsidR="009C673D" w:rsidRPr="00325F4F" w:rsidRDefault="009C673D" w:rsidP="009C673D">
      <w:pPr>
        <w:pStyle w:val="ListParagraph"/>
        <w:bidi w:val="0"/>
        <w:ind w:left="0"/>
        <w:rPr>
          <w:sz w:val="20"/>
          <w:szCs w:val="16"/>
        </w:rPr>
      </w:pPr>
    </w:p>
    <w:p w:rsidR="001851F6" w:rsidRPr="00325F4F" w:rsidRDefault="001851F6" w:rsidP="001851F6">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 xml:space="preserve">Security and Justice                               </w:t>
      </w:r>
    </w:p>
    <w:p w:rsidR="0015308F" w:rsidRDefault="001851F6" w:rsidP="001851F6">
      <w:pPr>
        <w:pStyle w:val="BodyText2"/>
        <w:numPr>
          <w:ilvl w:val="0"/>
          <w:numId w:val="2"/>
        </w:numPr>
        <w:overflowPunct/>
        <w:autoSpaceDE/>
        <w:autoSpaceDN/>
        <w:adjustRightInd/>
        <w:spacing w:after="120"/>
        <w:ind w:left="57" w:hanging="266"/>
        <w:textAlignment w:val="auto"/>
        <w:rPr>
          <w:noProof/>
        </w:rPr>
      </w:pPr>
      <w:r w:rsidRPr="00325F4F">
        <w:rPr>
          <w:noProof/>
        </w:rPr>
        <w:t>Criminal offenses reported: There were 33,579 criminal offenses reported in 2018 in the West Bank.</w:t>
      </w:r>
    </w:p>
    <w:p w:rsidR="001851F6" w:rsidRPr="00325F4F" w:rsidRDefault="001851F6" w:rsidP="00F44920">
      <w:pPr>
        <w:pStyle w:val="BodyText2"/>
        <w:numPr>
          <w:ilvl w:val="0"/>
          <w:numId w:val="2"/>
        </w:numPr>
        <w:overflowPunct/>
        <w:autoSpaceDE/>
        <w:autoSpaceDN/>
        <w:adjustRightInd/>
        <w:spacing w:after="120"/>
        <w:ind w:left="57" w:hanging="266"/>
        <w:textAlignment w:val="auto"/>
        <w:rPr>
          <w:noProof/>
        </w:rPr>
      </w:pPr>
      <w:r w:rsidRPr="00325F4F">
        <w:rPr>
          <w:noProof/>
        </w:rPr>
        <w:t>The criminal offenses reported in the West Bank governorates in 2018 included assault (28.3</w:t>
      </w:r>
      <w:r w:rsidRPr="00325F4F">
        <w:rPr>
          <w:noProof/>
          <w:rtl/>
        </w:rPr>
        <w:t>%</w:t>
      </w:r>
      <w:r w:rsidRPr="00325F4F">
        <w:rPr>
          <w:noProof/>
        </w:rPr>
        <w:t xml:space="preserve">), </w:t>
      </w:r>
      <w:r w:rsidR="00F44920">
        <w:rPr>
          <w:noProof/>
        </w:rPr>
        <w:t>t</w:t>
      </w:r>
      <w:r w:rsidR="00F44920" w:rsidRPr="002E508E">
        <w:rPr>
          <w:noProof/>
        </w:rPr>
        <w:t>hreat</w:t>
      </w:r>
      <w:r w:rsidR="00F44920">
        <w:rPr>
          <w:noProof/>
        </w:rPr>
        <w:t xml:space="preserve"> </w:t>
      </w:r>
      <w:r>
        <w:rPr>
          <w:noProof/>
        </w:rPr>
        <w:t>(%14.1),</w:t>
      </w:r>
      <w:r w:rsidRPr="002E508E">
        <w:rPr>
          <w:noProof/>
        </w:rPr>
        <w:t xml:space="preserve"> </w:t>
      </w:r>
      <w:r w:rsidRPr="00325F4F">
        <w:rPr>
          <w:noProof/>
        </w:rPr>
        <w:t>harming and immoral offenses (</w:t>
      </w:r>
      <w:r>
        <w:rPr>
          <w:noProof/>
        </w:rPr>
        <w:t>11.5</w:t>
      </w:r>
      <w:r w:rsidRPr="00325F4F">
        <w:rPr>
          <w:noProof/>
          <w:rtl/>
        </w:rPr>
        <w:t>%</w:t>
      </w:r>
      <w:r w:rsidRPr="00325F4F">
        <w:rPr>
          <w:noProof/>
        </w:rPr>
        <w:t>), theft (</w:t>
      </w:r>
      <w:r w:rsidRPr="00325F4F">
        <w:rPr>
          <w:rFonts w:hint="cs"/>
          <w:noProof/>
          <w:rtl/>
        </w:rPr>
        <w:t>11.4</w:t>
      </w:r>
      <w:r w:rsidRPr="00325F4F">
        <w:rPr>
          <w:noProof/>
          <w:rtl/>
        </w:rPr>
        <w:t>%</w:t>
      </w:r>
      <w:r w:rsidRPr="00325F4F">
        <w:rPr>
          <w:noProof/>
        </w:rPr>
        <w:t xml:space="preserve">), </w:t>
      </w:r>
      <w:r>
        <w:rPr>
          <w:noProof/>
        </w:rPr>
        <w:t>a</w:t>
      </w:r>
      <w:r w:rsidRPr="002E508E">
        <w:rPr>
          <w:noProof/>
        </w:rPr>
        <w:t xml:space="preserve">ttack on </w:t>
      </w:r>
      <w:r w:rsidR="00F44920">
        <w:rPr>
          <w:noProof/>
        </w:rPr>
        <w:lastRenderedPageBreak/>
        <w:t>p</w:t>
      </w:r>
      <w:r w:rsidR="00F44920" w:rsidRPr="002E508E">
        <w:rPr>
          <w:noProof/>
        </w:rPr>
        <w:t xml:space="preserve">rivate </w:t>
      </w:r>
      <w:r w:rsidRPr="002E508E">
        <w:rPr>
          <w:noProof/>
        </w:rPr>
        <w:t>and</w:t>
      </w:r>
      <w:r>
        <w:rPr>
          <w:noProof/>
        </w:rPr>
        <w:t xml:space="preserve"> </w:t>
      </w:r>
      <w:r w:rsidR="00F44920">
        <w:rPr>
          <w:noProof/>
        </w:rPr>
        <w:t>p</w:t>
      </w:r>
      <w:r w:rsidR="00F44920" w:rsidRPr="002E508E">
        <w:rPr>
          <w:noProof/>
        </w:rPr>
        <w:t xml:space="preserve">ublic </w:t>
      </w:r>
      <w:r w:rsidR="00F44920">
        <w:rPr>
          <w:noProof/>
        </w:rPr>
        <w:t>p</w:t>
      </w:r>
      <w:r w:rsidR="00F44920" w:rsidRPr="002E508E">
        <w:rPr>
          <w:noProof/>
        </w:rPr>
        <w:t>roperty</w:t>
      </w:r>
      <w:r w:rsidR="00F44920">
        <w:rPr>
          <w:noProof/>
        </w:rPr>
        <w:t xml:space="preserve"> </w:t>
      </w:r>
      <w:r w:rsidRPr="00325F4F">
        <w:rPr>
          <w:noProof/>
        </w:rPr>
        <w:t>(</w:t>
      </w:r>
      <w:r>
        <w:rPr>
          <w:noProof/>
        </w:rPr>
        <w:t>11.0</w:t>
      </w:r>
      <w:r w:rsidRPr="00325F4F">
        <w:rPr>
          <w:noProof/>
          <w:rtl/>
        </w:rPr>
        <w:t>%</w:t>
      </w:r>
      <w:r w:rsidRPr="00325F4F">
        <w:rPr>
          <w:noProof/>
        </w:rPr>
        <w:t>), and the remainder were kidnapping, attempted kidnapping, drugs and murder.</w:t>
      </w:r>
    </w:p>
    <w:p w:rsidR="001851F6" w:rsidRPr="00325F4F" w:rsidRDefault="001851F6" w:rsidP="001851F6">
      <w:pPr>
        <w:jc w:val="center"/>
        <w:rPr>
          <w:b/>
          <w:bCs/>
          <w:sz w:val="10"/>
          <w:szCs w:val="10"/>
        </w:rPr>
      </w:pPr>
    </w:p>
    <w:p w:rsidR="001851F6" w:rsidRPr="00325F4F" w:rsidRDefault="001851F6" w:rsidP="001851F6">
      <w:pPr>
        <w:jc w:val="center"/>
        <w:rPr>
          <w:b/>
          <w:bCs/>
          <w:sz w:val="18"/>
          <w:szCs w:val="18"/>
        </w:rPr>
      </w:pPr>
      <w:r w:rsidRPr="00325F4F">
        <w:rPr>
          <w:b/>
          <w:bCs/>
          <w:sz w:val="18"/>
          <w:szCs w:val="18"/>
        </w:rPr>
        <w:t>Number of Reported Criminal Offenses in the West Bank* by Governorate, 2018</w:t>
      </w:r>
    </w:p>
    <w:p w:rsidR="001851F6" w:rsidRPr="00325F4F" w:rsidRDefault="001851F6" w:rsidP="001851F6">
      <w:pPr>
        <w:jc w:val="center"/>
        <w:rPr>
          <w:b/>
          <w:bCs/>
          <w:sz w:val="10"/>
          <w:szCs w:val="10"/>
          <w:rtl/>
        </w:rPr>
      </w:pPr>
    </w:p>
    <w:p w:rsidR="001851F6" w:rsidRPr="00325F4F" w:rsidRDefault="001851F6" w:rsidP="001851F6">
      <w:pPr>
        <w:pStyle w:val="BodyText2"/>
        <w:jc w:val="center"/>
        <w:rPr>
          <w:sz w:val="16"/>
          <w:szCs w:val="16"/>
          <w:rtl/>
        </w:rPr>
      </w:pPr>
      <w:r w:rsidRPr="00325F4F">
        <w:rPr>
          <w:rFonts w:ascii="Simplified Arabic" w:hAnsi="Simplified Arabic"/>
          <w:b/>
          <w:bCs/>
          <w:noProof/>
          <w:sz w:val="18"/>
          <w:szCs w:val="18"/>
          <w:bdr w:val="single" w:sz="4" w:space="0" w:color="auto"/>
        </w:rPr>
        <w:drawing>
          <wp:inline distT="0" distB="0" distL="0" distR="0">
            <wp:extent cx="4800600" cy="1835150"/>
            <wp:effectExtent l="0" t="0" r="0" b="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851F6" w:rsidRPr="00325F4F" w:rsidRDefault="001851F6" w:rsidP="001851F6">
      <w:pPr>
        <w:tabs>
          <w:tab w:val="right" w:pos="70"/>
        </w:tabs>
        <w:ind w:left="98" w:right="112" w:firstLine="14"/>
        <w:jc w:val="lowKashida"/>
        <w:rPr>
          <w:sz w:val="14"/>
          <w:szCs w:val="14"/>
        </w:rPr>
      </w:pPr>
      <w:r w:rsidRPr="00325F4F">
        <w:rPr>
          <w:sz w:val="14"/>
          <w:szCs w:val="14"/>
        </w:rPr>
        <w:t>*</w:t>
      </w:r>
      <w:r w:rsidRPr="00325F4F">
        <w:rPr>
          <w:rFonts w:ascii="Arial" w:hAnsi="Arial" w:cs="Arial"/>
          <w:sz w:val="14"/>
          <w:szCs w:val="14"/>
        </w:rPr>
        <w:t xml:space="preserve"> Data exclude those parts of Jerusalem which were annexed by Israel Occupation in 1967</w:t>
      </w:r>
      <w:r w:rsidRPr="00325F4F">
        <w:rPr>
          <w:sz w:val="14"/>
          <w:szCs w:val="14"/>
        </w:rPr>
        <w:t>.</w:t>
      </w:r>
    </w:p>
    <w:p w:rsidR="001851F6" w:rsidRPr="00325F4F" w:rsidRDefault="001851F6" w:rsidP="001851F6">
      <w:pPr>
        <w:pStyle w:val="BodyText"/>
        <w:overflowPunct/>
        <w:autoSpaceDE/>
        <w:autoSpaceDN/>
        <w:adjustRightInd/>
        <w:ind w:left="360"/>
        <w:jc w:val="lowKashida"/>
        <w:textAlignment w:val="auto"/>
        <w:rPr>
          <w:rFonts w:cs="Times New Roman"/>
        </w:rPr>
      </w:pPr>
    </w:p>
    <w:p w:rsidR="001851F6" w:rsidRDefault="001851F6" w:rsidP="005075F0">
      <w:pPr>
        <w:pStyle w:val="BodyText2"/>
        <w:numPr>
          <w:ilvl w:val="0"/>
          <w:numId w:val="2"/>
        </w:numPr>
        <w:overflowPunct/>
        <w:autoSpaceDE/>
        <w:autoSpaceDN/>
        <w:adjustRightInd/>
        <w:spacing w:after="120"/>
        <w:ind w:left="266" w:hanging="266"/>
        <w:textAlignment w:val="auto"/>
        <w:rPr>
          <w:noProof/>
        </w:rPr>
      </w:pPr>
      <w:r w:rsidRPr="00325F4F">
        <w:rPr>
          <w:noProof/>
        </w:rPr>
        <w:t>Juvenile offenders: There were 1,73</w:t>
      </w:r>
      <w:r>
        <w:rPr>
          <w:noProof/>
        </w:rPr>
        <w:t>8</w:t>
      </w:r>
      <w:r w:rsidRPr="00325F4F">
        <w:rPr>
          <w:noProof/>
        </w:rPr>
        <w:t xml:space="preserve"> juvenile offenders admitted to reform institutions in Palestine in 2018; 271 in the West </w:t>
      </w:r>
      <w:r w:rsidR="005075F0">
        <w:rPr>
          <w:noProof/>
        </w:rPr>
        <w:t>B</w:t>
      </w:r>
      <w:r w:rsidRPr="00325F4F">
        <w:rPr>
          <w:noProof/>
        </w:rPr>
        <w:t>ank and 1</w:t>
      </w:r>
      <w:r w:rsidR="0015308F">
        <w:rPr>
          <w:noProof/>
        </w:rPr>
        <w:t>,</w:t>
      </w:r>
      <w:r w:rsidRPr="00325F4F">
        <w:rPr>
          <w:noProof/>
        </w:rPr>
        <w:t>467 in Gaza Strip.</w:t>
      </w:r>
      <w:r>
        <w:rPr>
          <w:noProof/>
        </w:rPr>
        <w:t xml:space="preserve"> </w:t>
      </w:r>
      <w:r w:rsidRPr="00325F4F">
        <w:rPr>
          <w:noProof/>
        </w:rPr>
        <w:t>The criminal offenses committed by those juveniles comprised 347 cases of assault, 785</w:t>
      </w:r>
      <w:r w:rsidRPr="00325F4F">
        <w:rPr>
          <w:noProof/>
          <w:rtl/>
        </w:rPr>
        <w:t xml:space="preserve"> </w:t>
      </w:r>
      <w:r w:rsidRPr="00325F4F">
        <w:rPr>
          <w:noProof/>
        </w:rPr>
        <w:t>cases of burglary and theft,</w:t>
      </w:r>
      <w:r>
        <w:rPr>
          <w:noProof/>
        </w:rPr>
        <w:t xml:space="preserve"> 135 cases of </w:t>
      </w:r>
      <w:r w:rsidR="00F44920">
        <w:rPr>
          <w:noProof/>
        </w:rPr>
        <w:t>drugs</w:t>
      </w:r>
      <w:r>
        <w:rPr>
          <w:noProof/>
        </w:rPr>
        <w:t>,</w:t>
      </w:r>
      <w:r w:rsidRPr="00325F4F">
        <w:rPr>
          <w:noProof/>
        </w:rPr>
        <w:t xml:space="preserve"> and 93 cases of immoral offenses.</w:t>
      </w:r>
      <w:r w:rsidRPr="00A90083">
        <w:rPr>
          <w:noProof/>
        </w:rPr>
        <w:t xml:space="preserve"> </w:t>
      </w:r>
      <w:r w:rsidR="005A04E9">
        <w:rPr>
          <w:noProof/>
        </w:rPr>
        <w:t>T</w:t>
      </w:r>
      <w:r w:rsidRPr="00325F4F">
        <w:rPr>
          <w:noProof/>
        </w:rPr>
        <w:t>he remainder</w:t>
      </w:r>
      <w:r>
        <w:rPr>
          <w:noProof/>
        </w:rPr>
        <w:t xml:space="preserve"> criminal offenses</w:t>
      </w:r>
      <w:r w:rsidRPr="00325F4F">
        <w:rPr>
          <w:noProof/>
        </w:rPr>
        <w:t xml:space="preserve"> were </w:t>
      </w:r>
      <w:r>
        <w:rPr>
          <w:noProof/>
        </w:rPr>
        <w:t>distributed on cases of the property of others and against public order and other crimes.</w:t>
      </w:r>
    </w:p>
    <w:p w:rsidR="001851F6" w:rsidRPr="00325F4F" w:rsidRDefault="001851F6" w:rsidP="005A04E9">
      <w:pPr>
        <w:pStyle w:val="BodyText2"/>
        <w:numPr>
          <w:ilvl w:val="0"/>
          <w:numId w:val="2"/>
        </w:numPr>
        <w:overflowPunct/>
        <w:autoSpaceDE/>
        <w:autoSpaceDN/>
        <w:adjustRightInd/>
        <w:spacing w:after="120"/>
        <w:ind w:left="266" w:hanging="266"/>
        <w:textAlignment w:val="auto"/>
        <w:rPr>
          <w:noProof/>
        </w:rPr>
      </w:pPr>
      <w:r w:rsidRPr="00325F4F">
        <w:rPr>
          <w:noProof/>
        </w:rPr>
        <w:t xml:space="preserve">Road traffic accidents: </w:t>
      </w:r>
      <w:r w:rsidR="00545B6B">
        <w:rPr>
          <w:noProof/>
        </w:rPr>
        <w:t>(</w:t>
      </w:r>
      <w:r w:rsidRPr="00325F4F">
        <w:rPr>
          <w:noProof/>
        </w:rPr>
        <w:t>Data exclude</w:t>
      </w:r>
      <w:r w:rsidR="005A04E9">
        <w:rPr>
          <w:noProof/>
        </w:rPr>
        <w:t>s</w:t>
      </w:r>
      <w:r w:rsidRPr="00325F4F">
        <w:rPr>
          <w:noProof/>
        </w:rPr>
        <w:t xml:space="preserve"> those parts of Jerusalem which were annexed by Israel Occupation in 1967</w:t>
      </w:r>
      <w:r w:rsidR="00545B6B">
        <w:rPr>
          <w:noProof/>
        </w:rPr>
        <w:t>)</w:t>
      </w:r>
      <w:r w:rsidR="005A04E9">
        <w:rPr>
          <w:noProof/>
        </w:rPr>
        <w:t xml:space="preserve">. Thus, </w:t>
      </w:r>
      <w:r w:rsidR="005A04E9" w:rsidRPr="00325F4F">
        <w:rPr>
          <w:noProof/>
        </w:rPr>
        <w:t xml:space="preserve"> </w:t>
      </w:r>
      <w:r w:rsidR="00F44D55">
        <w:rPr>
          <w:noProof/>
        </w:rPr>
        <w:t>t</w:t>
      </w:r>
      <w:r w:rsidRPr="00325F4F">
        <w:rPr>
          <w:noProof/>
        </w:rPr>
        <w:t xml:space="preserve">here were 12,829 road traffic accidents in the West Bank  in 2018. </w:t>
      </w:r>
    </w:p>
    <w:p w:rsidR="001851F6" w:rsidRPr="00325F4F" w:rsidRDefault="001851F6" w:rsidP="00545B6B">
      <w:pPr>
        <w:pStyle w:val="BodyText2"/>
        <w:numPr>
          <w:ilvl w:val="0"/>
          <w:numId w:val="2"/>
        </w:numPr>
        <w:overflowPunct/>
        <w:autoSpaceDE/>
        <w:autoSpaceDN/>
        <w:adjustRightInd/>
        <w:spacing w:after="120"/>
        <w:ind w:left="266" w:hanging="266"/>
        <w:textAlignment w:val="auto"/>
        <w:rPr>
          <w:noProof/>
        </w:rPr>
      </w:pPr>
      <w:r w:rsidRPr="00325F4F">
        <w:rPr>
          <w:noProof/>
        </w:rPr>
        <w:t xml:space="preserve">There were 9,561 injuries caused by road accidents as follows: 8,549 </w:t>
      </w:r>
      <w:r w:rsidR="00545B6B">
        <w:rPr>
          <w:noProof/>
        </w:rPr>
        <w:t>m</w:t>
      </w:r>
      <w:r w:rsidR="00545B6B" w:rsidRPr="00545B6B">
        <w:rPr>
          <w:noProof/>
        </w:rPr>
        <w:t>ild Injured</w:t>
      </w:r>
      <w:r w:rsidRPr="00325F4F">
        <w:rPr>
          <w:noProof/>
        </w:rPr>
        <w:t xml:space="preserve">, 735 </w:t>
      </w:r>
      <w:r w:rsidR="00545B6B">
        <w:rPr>
          <w:noProof/>
        </w:rPr>
        <w:t>m</w:t>
      </w:r>
      <w:r w:rsidR="00545B6B" w:rsidRPr="00545B6B">
        <w:rPr>
          <w:noProof/>
        </w:rPr>
        <w:t>oderate Injured</w:t>
      </w:r>
      <w:r w:rsidRPr="00325F4F">
        <w:rPr>
          <w:noProof/>
        </w:rPr>
        <w:t xml:space="preserve">, 152 </w:t>
      </w:r>
      <w:r w:rsidR="00545B6B">
        <w:rPr>
          <w:noProof/>
        </w:rPr>
        <w:t>s</w:t>
      </w:r>
      <w:r w:rsidR="00545B6B" w:rsidRPr="00545B6B">
        <w:rPr>
          <w:noProof/>
        </w:rPr>
        <w:t>eriously Injured</w:t>
      </w:r>
      <w:r w:rsidR="00545B6B" w:rsidRPr="00325F4F">
        <w:rPr>
          <w:noProof/>
        </w:rPr>
        <w:t xml:space="preserve"> </w:t>
      </w:r>
      <w:r w:rsidRPr="00325F4F">
        <w:rPr>
          <w:noProof/>
        </w:rPr>
        <w:t xml:space="preserve">and 125 </w:t>
      </w:r>
      <w:r w:rsidR="00545B6B">
        <w:rPr>
          <w:noProof/>
        </w:rPr>
        <w:t>f</w:t>
      </w:r>
      <w:r w:rsidR="00545B6B" w:rsidRPr="00545B6B">
        <w:rPr>
          <w:noProof/>
        </w:rPr>
        <w:t>atally Injured</w:t>
      </w:r>
      <w:r w:rsidRPr="00325F4F">
        <w:rPr>
          <w:noProof/>
        </w:rPr>
        <w:t>.</w:t>
      </w:r>
    </w:p>
    <w:p w:rsidR="00C0209D" w:rsidRPr="00325F4F" w:rsidRDefault="00EE63BF"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security and justice, see the tables in chapter 1.12 of the Arabic section, pages</w:t>
      </w:r>
      <w:r w:rsidRPr="00325F4F">
        <w:rPr>
          <w:rFonts w:cs="Times New Roman"/>
          <w:b/>
          <w:bCs/>
          <w:i/>
          <w:iCs/>
          <w:sz w:val="18"/>
          <w:szCs w:val="18"/>
          <w:u w:val="single"/>
          <w:rtl/>
        </w:rPr>
        <w:t xml:space="preserve"> </w:t>
      </w:r>
      <w:r w:rsidR="0015308F">
        <w:rPr>
          <w:rFonts w:cs="Times New Roman"/>
          <w:b/>
          <w:bCs/>
          <w:i/>
          <w:iCs/>
          <w:sz w:val="18"/>
          <w:szCs w:val="18"/>
          <w:u w:val="single"/>
        </w:rPr>
        <w:t>143</w:t>
      </w:r>
      <w:r w:rsidRPr="00325F4F">
        <w:rPr>
          <w:rFonts w:cs="Times New Roman"/>
          <w:b/>
          <w:bCs/>
          <w:i/>
          <w:iCs/>
          <w:sz w:val="18"/>
          <w:szCs w:val="18"/>
          <w:u w:val="single"/>
        </w:rPr>
        <w:t>-</w:t>
      </w:r>
      <w:r w:rsidR="0015308F">
        <w:rPr>
          <w:rFonts w:cs="Times New Roman"/>
          <w:b/>
          <w:bCs/>
          <w:i/>
          <w:iCs/>
          <w:sz w:val="18"/>
          <w:szCs w:val="18"/>
          <w:u w:val="single"/>
        </w:rPr>
        <w:t>148</w:t>
      </w:r>
      <w:r w:rsidRPr="00325F4F">
        <w:rPr>
          <w:rFonts w:cs="Times New Roman"/>
          <w:b/>
          <w:bCs/>
          <w:i/>
          <w:iCs/>
          <w:sz w:val="18"/>
          <w:szCs w:val="18"/>
          <w:u w:val="single"/>
        </w:rPr>
        <w:t>.</w:t>
      </w:r>
    </w:p>
    <w:p w:rsidR="00C0209D" w:rsidRPr="00325F4F" w:rsidRDefault="00C0209D" w:rsidP="00C0209D">
      <w:pPr>
        <w:pStyle w:val="ListParagraph"/>
        <w:bidi w:val="0"/>
        <w:ind w:left="0"/>
        <w:rPr>
          <w:sz w:val="20"/>
          <w:szCs w:val="16"/>
        </w:rPr>
      </w:pPr>
    </w:p>
    <w:p w:rsidR="00020126" w:rsidRPr="00325F4F" w:rsidRDefault="00020126" w:rsidP="00332048">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 xml:space="preserve">Environment and Natural Resources  </w:t>
      </w:r>
    </w:p>
    <w:p w:rsidR="00377785" w:rsidRPr="00325F4F" w:rsidRDefault="00377785" w:rsidP="00545B6B">
      <w:pPr>
        <w:pStyle w:val="BodyText2"/>
        <w:numPr>
          <w:ilvl w:val="0"/>
          <w:numId w:val="2"/>
        </w:numPr>
        <w:overflowPunct/>
        <w:autoSpaceDE/>
        <w:autoSpaceDN/>
        <w:adjustRightInd/>
        <w:spacing w:after="120"/>
        <w:ind w:left="266" w:hanging="266"/>
        <w:textAlignment w:val="auto"/>
        <w:rPr>
          <w:noProof/>
        </w:rPr>
      </w:pPr>
      <w:r w:rsidRPr="00325F4F">
        <w:rPr>
          <w:noProof/>
        </w:rPr>
        <w:t xml:space="preserve">The quantity of annual available water in </w:t>
      </w:r>
      <w:r w:rsidRPr="00325F4F">
        <w:rPr>
          <w:rFonts w:hint="cs"/>
          <w:noProof/>
          <w:rtl/>
        </w:rPr>
        <w:t>2017</w:t>
      </w:r>
      <w:r w:rsidRPr="00325F4F">
        <w:rPr>
          <w:noProof/>
        </w:rPr>
        <w:t xml:space="preserve"> was 375.2 MCM, of which 264.5 MCM was pumped from </w:t>
      </w:r>
      <w:r w:rsidR="00545B6B">
        <w:rPr>
          <w:noProof/>
        </w:rPr>
        <w:t>w</w:t>
      </w:r>
      <w:r w:rsidR="00545B6B" w:rsidRPr="00545B6B">
        <w:rPr>
          <w:noProof/>
        </w:rPr>
        <w:t xml:space="preserve">ater </w:t>
      </w:r>
      <w:r w:rsidR="00545B6B">
        <w:rPr>
          <w:noProof/>
        </w:rPr>
        <w:t>p</w:t>
      </w:r>
      <w:r w:rsidR="00545B6B" w:rsidRPr="00545B6B">
        <w:rPr>
          <w:noProof/>
        </w:rPr>
        <w:t xml:space="preserve">umped from Palestinian </w:t>
      </w:r>
      <w:r w:rsidR="00545B6B">
        <w:rPr>
          <w:noProof/>
        </w:rPr>
        <w:t>w</w:t>
      </w:r>
      <w:r w:rsidR="00545B6B" w:rsidRPr="00545B6B">
        <w:rPr>
          <w:noProof/>
        </w:rPr>
        <w:t>ells</w:t>
      </w:r>
      <w:r w:rsidRPr="00325F4F">
        <w:rPr>
          <w:noProof/>
        </w:rPr>
        <w:t>, 83.2 MCM was purchased from the Israeli Mekorot water company, and 23.5 MCM was discharged from water springs.</w:t>
      </w:r>
    </w:p>
    <w:p w:rsidR="00377785" w:rsidRPr="00325F4F" w:rsidRDefault="00377785" w:rsidP="00792F9D">
      <w:pPr>
        <w:pStyle w:val="BodyText2"/>
        <w:numPr>
          <w:ilvl w:val="0"/>
          <w:numId w:val="2"/>
        </w:numPr>
        <w:overflowPunct/>
        <w:autoSpaceDE/>
        <w:autoSpaceDN/>
        <w:adjustRightInd/>
        <w:spacing w:after="120"/>
        <w:ind w:left="266" w:hanging="266"/>
        <w:textAlignment w:val="auto"/>
        <w:rPr>
          <w:noProof/>
        </w:rPr>
      </w:pPr>
      <w:r w:rsidRPr="00325F4F">
        <w:rPr>
          <w:noProof/>
        </w:rPr>
        <w:t>The highest amount of annual rainfall in Tulkarem station was 877 (mm) in 2018.</w:t>
      </w:r>
    </w:p>
    <w:p w:rsidR="00EE63BF" w:rsidRPr="00325F4F" w:rsidRDefault="00EE63BF">
      <w:pPr>
        <w:overflowPunct/>
        <w:autoSpaceDE/>
        <w:autoSpaceDN/>
        <w:adjustRightInd/>
        <w:textAlignment w:val="auto"/>
        <w:rPr>
          <w:b/>
          <w:bCs/>
          <w:sz w:val="18"/>
          <w:szCs w:val="18"/>
        </w:rPr>
      </w:pPr>
      <w:r w:rsidRPr="00325F4F">
        <w:rPr>
          <w:b/>
          <w:bCs/>
          <w:sz w:val="18"/>
          <w:szCs w:val="18"/>
        </w:rPr>
        <w:br w:type="page"/>
      </w:r>
    </w:p>
    <w:p w:rsidR="00377785" w:rsidRPr="00325F4F" w:rsidRDefault="00377785" w:rsidP="00377785">
      <w:pPr>
        <w:overflowPunct/>
        <w:autoSpaceDE/>
        <w:autoSpaceDN/>
        <w:adjustRightInd/>
        <w:jc w:val="center"/>
        <w:textAlignment w:val="auto"/>
        <w:rPr>
          <w:b/>
          <w:bCs/>
          <w:sz w:val="18"/>
          <w:szCs w:val="18"/>
        </w:rPr>
      </w:pPr>
      <w:r w:rsidRPr="00325F4F">
        <w:rPr>
          <w:b/>
          <w:bCs/>
          <w:sz w:val="18"/>
          <w:szCs w:val="18"/>
        </w:rPr>
        <w:lastRenderedPageBreak/>
        <w:t>Annual Rainfall Quantity (mm) in the West Bank by Station Location, 2018</w:t>
      </w:r>
    </w:p>
    <w:p w:rsidR="00377785" w:rsidRPr="00325F4F" w:rsidRDefault="00377785" w:rsidP="00377785">
      <w:pPr>
        <w:pStyle w:val="BodyText3"/>
        <w:jc w:val="center"/>
        <w:rPr>
          <w:rFonts w:ascii="Arial" w:hAnsi="Arial" w:cs="Arial"/>
          <w:sz w:val="10"/>
          <w:szCs w:val="10"/>
          <w:rtl/>
        </w:rPr>
      </w:pPr>
    </w:p>
    <w:tbl>
      <w:tblPr>
        <w:tblStyle w:val="TableGrid"/>
        <w:tblW w:w="0" w:type="auto"/>
        <w:jc w:val="center"/>
        <w:tblInd w:w="250" w:type="dxa"/>
        <w:tblLook w:val="04A0"/>
      </w:tblPr>
      <w:tblGrid>
        <w:gridCol w:w="7146"/>
      </w:tblGrid>
      <w:tr w:rsidR="00377785" w:rsidRPr="00325F4F" w:rsidTr="000432A2">
        <w:trPr>
          <w:jc w:val="center"/>
        </w:trPr>
        <w:tc>
          <w:tcPr>
            <w:tcW w:w="6769" w:type="dxa"/>
          </w:tcPr>
          <w:p w:rsidR="00377785" w:rsidRPr="00325F4F" w:rsidRDefault="00377785" w:rsidP="000432A2">
            <w:pPr>
              <w:pStyle w:val="BodyText3"/>
              <w:jc w:val="center"/>
              <w:rPr>
                <w:rFonts w:asciiTheme="minorBidi" w:hAnsiTheme="minorBidi" w:cstheme="minorBidi"/>
                <w:sz w:val="16"/>
                <w:szCs w:val="14"/>
              </w:rPr>
            </w:pPr>
            <w:r w:rsidRPr="00325F4F">
              <w:rPr>
                <w:rFonts w:asciiTheme="minorBidi" w:hAnsiTheme="minorBidi" w:cstheme="minorBidi"/>
                <w:noProof/>
                <w:sz w:val="16"/>
                <w:szCs w:val="14"/>
              </w:rPr>
              <w:drawing>
                <wp:inline distT="0" distB="0" distL="0" distR="0">
                  <wp:extent cx="4400550" cy="1911350"/>
                  <wp:effectExtent l="0" t="0" r="0" b="0"/>
                  <wp:docPr id="1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D6F50" w:rsidRPr="00325F4F" w:rsidRDefault="00ED6F50" w:rsidP="00ED6F50">
      <w:pPr>
        <w:pStyle w:val="BodyText2"/>
        <w:overflowPunct/>
        <w:autoSpaceDE/>
        <w:autoSpaceDN/>
        <w:adjustRightInd/>
        <w:spacing w:after="120"/>
        <w:ind w:left="142"/>
        <w:textAlignment w:val="auto"/>
        <w:rPr>
          <w:sz w:val="6"/>
          <w:szCs w:val="6"/>
        </w:rPr>
      </w:pPr>
    </w:p>
    <w:p w:rsidR="009C673D" w:rsidRPr="00325F4F" w:rsidRDefault="009C673D"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w:t>
      </w:r>
      <w:r w:rsidR="00654A09" w:rsidRPr="00325F4F">
        <w:rPr>
          <w:rFonts w:cs="Times New Roman"/>
          <w:b/>
          <w:bCs/>
          <w:i/>
          <w:iCs/>
          <w:sz w:val="18"/>
          <w:szCs w:val="18"/>
          <w:u w:val="single"/>
        </w:rPr>
        <w:t>s</w:t>
      </w:r>
      <w:r w:rsidRPr="00325F4F">
        <w:rPr>
          <w:rFonts w:cs="Times New Roman"/>
          <w:b/>
          <w:bCs/>
          <w:i/>
          <w:iCs/>
          <w:sz w:val="18"/>
          <w:szCs w:val="18"/>
          <w:u w:val="single"/>
        </w:rPr>
        <w:t xml:space="preserve"> </w:t>
      </w:r>
      <w:r w:rsidR="00FA6A6A" w:rsidRPr="00325F4F">
        <w:rPr>
          <w:rFonts w:cs="Times New Roman"/>
          <w:b/>
          <w:bCs/>
          <w:i/>
          <w:iCs/>
          <w:sz w:val="18"/>
          <w:szCs w:val="18"/>
          <w:u w:val="single"/>
        </w:rPr>
        <w:t xml:space="preserve">on </w:t>
      </w:r>
      <w:r w:rsidR="000D29C8" w:rsidRPr="00325F4F">
        <w:rPr>
          <w:rFonts w:cs="Times New Roman"/>
          <w:b/>
          <w:bCs/>
          <w:i/>
          <w:iCs/>
          <w:sz w:val="18"/>
          <w:szCs w:val="18"/>
          <w:u w:val="single"/>
        </w:rPr>
        <w:t>the</w:t>
      </w:r>
      <w:r w:rsidRPr="00325F4F">
        <w:rPr>
          <w:rFonts w:cs="Times New Roman"/>
          <w:b/>
          <w:bCs/>
          <w:i/>
          <w:iCs/>
          <w:sz w:val="18"/>
          <w:szCs w:val="18"/>
          <w:u w:val="single"/>
        </w:rPr>
        <w:t xml:space="preserve"> </w:t>
      </w:r>
      <w:r w:rsidR="000D29C8" w:rsidRPr="00325F4F">
        <w:rPr>
          <w:rFonts w:cs="Times New Roman"/>
          <w:b/>
          <w:bCs/>
          <w:i/>
          <w:iCs/>
          <w:sz w:val="18"/>
          <w:szCs w:val="18"/>
          <w:u w:val="single"/>
        </w:rPr>
        <w:t>e</w:t>
      </w:r>
      <w:r w:rsidRPr="00325F4F">
        <w:rPr>
          <w:rFonts w:cs="Times New Roman"/>
          <w:b/>
          <w:bCs/>
          <w:i/>
          <w:iCs/>
          <w:sz w:val="18"/>
          <w:szCs w:val="18"/>
          <w:u w:val="single"/>
        </w:rPr>
        <w:t>nvironment and</w:t>
      </w:r>
      <w:r w:rsidR="000D29C8" w:rsidRPr="00325F4F">
        <w:rPr>
          <w:rFonts w:cs="Times New Roman"/>
          <w:b/>
          <w:bCs/>
          <w:i/>
          <w:iCs/>
          <w:sz w:val="18"/>
          <w:szCs w:val="18"/>
          <w:u w:val="single"/>
        </w:rPr>
        <w:t xml:space="preserve"> n</w:t>
      </w:r>
      <w:r w:rsidRPr="00325F4F">
        <w:rPr>
          <w:rFonts w:cs="Times New Roman"/>
          <w:b/>
          <w:bCs/>
          <w:i/>
          <w:iCs/>
          <w:sz w:val="18"/>
          <w:szCs w:val="18"/>
          <w:u w:val="single"/>
        </w:rPr>
        <w:t xml:space="preserve">atural </w:t>
      </w:r>
      <w:r w:rsidR="000D29C8" w:rsidRPr="00325F4F">
        <w:rPr>
          <w:rFonts w:cs="Times New Roman"/>
          <w:b/>
          <w:bCs/>
          <w:i/>
          <w:iCs/>
          <w:sz w:val="18"/>
          <w:szCs w:val="18"/>
          <w:u w:val="single"/>
        </w:rPr>
        <w:t>r</w:t>
      </w:r>
      <w:r w:rsidRPr="00325F4F">
        <w:rPr>
          <w:rFonts w:cs="Times New Roman"/>
          <w:b/>
          <w:bCs/>
          <w:i/>
          <w:iCs/>
          <w:sz w:val="18"/>
          <w:szCs w:val="18"/>
          <w:u w:val="single"/>
        </w:rPr>
        <w:t>esources</w:t>
      </w:r>
      <w:r w:rsidR="000D29C8" w:rsidRPr="00325F4F">
        <w:rPr>
          <w:rFonts w:cs="Times New Roman"/>
          <w:b/>
          <w:bCs/>
          <w:i/>
          <w:iCs/>
          <w:sz w:val="18"/>
          <w:szCs w:val="18"/>
          <w:u w:val="single"/>
        </w:rPr>
        <w:t>,</w:t>
      </w:r>
      <w:r w:rsidRPr="00325F4F">
        <w:rPr>
          <w:rFonts w:cs="Times New Roman"/>
          <w:b/>
          <w:bCs/>
          <w:i/>
          <w:iCs/>
          <w:sz w:val="18"/>
          <w:szCs w:val="18"/>
          <w:u w:val="single"/>
        </w:rPr>
        <w:t xml:space="preserve"> </w:t>
      </w:r>
      <w:r w:rsidR="0037009A" w:rsidRPr="00325F4F">
        <w:rPr>
          <w:rFonts w:cs="Times New Roman"/>
          <w:b/>
          <w:bCs/>
          <w:i/>
          <w:iCs/>
          <w:sz w:val="18"/>
          <w:szCs w:val="18"/>
          <w:u w:val="single"/>
        </w:rPr>
        <w:t>see</w:t>
      </w:r>
      <w:r w:rsidR="000D29C8" w:rsidRPr="00325F4F">
        <w:rPr>
          <w:rFonts w:cs="Times New Roman"/>
          <w:b/>
          <w:bCs/>
          <w:i/>
          <w:iCs/>
          <w:sz w:val="18"/>
          <w:szCs w:val="18"/>
          <w:u w:val="single"/>
        </w:rPr>
        <w:t xml:space="preserve"> the</w:t>
      </w:r>
      <w:r w:rsidR="0037009A" w:rsidRPr="00325F4F">
        <w:rPr>
          <w:rFonts w:cs="Times New Roman"/>
          <w:b/>
          <w:bCs/>
          <w:i/>
          <w:iCs/>
          <w:sz w:val="18"/>
          <w:szCs w:val="18"/>
          <w:u w:val="single"/>
        </w:rPr>
        <w:t xml:space="preserve"> tables </w:t>
      </w:r>
      <w:r w:rsidRPr="00325F4F">
        <w:rPr>
          <w:rFonts w:cs="Times New Roman"/>
          <w:b/>
          <w:bCs/>
          <w:i/>
          <w:iCs/>
          <w:sz w:val="18"/>
          <w:szCs w:val="18"/>
          <w:u w:val="single"/>
        </w:rPr>
        <w:t>in chapter 1.</w:t>
      </w:r>
      <w:r w:rsidR="005846DD" w:rsidRPr="00325F4F">
        <w:rPr>
          <w:rFonts w:cs="Times New Roman"/>
          <w:b/>
          <w:bCs/>
          <w:i/>
          <w:iCs/>
          <w:sz w:val="18"/>
          <w:szCs w:val="18"/>
          <w:u w:val="single"/>
        </w:rPr>
        <w:t>1</w:t>
      </w:r>
      <w:r w:rsidR="00EE63BF" w:rsidRPr="00325F4F">
        <w:rPr>
          <w:rFonts w:cs="Times New Roman"/>
          <w:b/>
          <w:bCs/>
          <w:i/>
          <w:iCs/>
          <w:sz w:val="18"/>
          <w:szCs w:val="18"/>
          <w:u w:val="single"/>
        </w:rPr>
        <w:t>3</w:t>
      </w:r>
      <w:r w:rsidRPr="00325F4F">
        <w:rPr>
          <w:rFonts w:cs="Times New Roman"/>
          <w:b/>
          <w:bCs/>
          <w:i/>
          <w:iCs/>
          <w:sz w:val="18"/>
          <w:szCs w:val="18"/>
          <w:u w:val="single"/>
        </w:rPr>
        <w:t xml:space="preserve"> </w:t>
      </w:r>
      <w:r w:rsidR="000D29C8" w:rsidRPr="00325F4F">
        <w:rPr>
          <w:rFonts w:cs="Times New Roman"/>
          <w:b/>
          <w:bCs/>
          <w:i/>
          <w:iCs/>
          <w:sz w:val="18"/>
          <w:szCs w:val="18"/>
          <w:u w:val="single"/>
        </w:rPr>
        <w:t xml:space="preserve">of the </w:t>
      </w:r>
      <w:r w:rsidR="00654A09" w:rsidRPr="00325F4F">
        <w:rPr>
          <w:rFonts w:cs="Times New Roman"/>
          <w:b/>
          <w:bCs/>
          <w:i/>
          <w:iCs/>
          <w:sz w:val="18"/>
          <w:szCs w:val="18"/>
          <w:u w:val="single"/>
        </w:rPr>
        <w:t>Arabic</w:t>
      </w:r>
      <w:r w:rsidRPr="00325F4F">
        <w:rPr>
          <w:rFonts w:cs="Times New Roman"/>
          <w:b/>
          <w:bCs/>
          <w:i/>
          <w:iCs/>
          <w:sz w:val="18"/>
          <w:szCs w:val="18"/>
          <w:u w:val="single"/>
        </w:rPr>
        <w:t xml:space="preserve"> </w:t>
      </w:r>
      <w:r w:rsidR="000D29C8" w:rsidRPr="00325F4F">
        <w:rPr>
          <w:rFonts w:cs="Times New Roman"/>
          <w:b/>
          <w:bCs/>
          <w:i/>
          <w:iCs/>
          <w:sz w:val="18"/>
          <w:szCs w:val="18"/>
          <w:u w:val="single"/>
        </w:rPr>
        <w:t xml:space="preserve">section, </w:t>
      </w:r>
      <w:r w:rsidRPr="00325F4F">
        <w:rPr>
          <w:rFonts w:cs="Times New Roman"/>
          <w:b/>
          <w:bCs/>
          <w:i/>
          <w:iCs/>
          <w:sz w:val="18"/>
          <w:szCs w:val="18"/>
          <w:u w:val="single"/>
        </w:rPr>
        <w:t>page</w:t>
      </w:r>
      <w:r w:rsidR="000D29C8" w:rsidRPr="00325F4F">
        <w:rPr>
          <w:rFonts w:cs="Times New Roman"/>
          <w:b/>
          <w:bCs/>
          <w:i/>
          <w:iCs/>
          <w:sz w:val="18"/>
          <w:szCs w:val="18"/>
          <w:u w:val="single"/>
        </w:rPr>
        <w:t>s</w:t>
      </w:r>
      <w:r w:rsidR="006A480D" w:rsidRPr="00325F4F">
        <w:rPr>
          <w:rFonts w:cs="Times New Roman"/>
          <w:b/>
          <w:bCs/>
          <w:i/>
          <w:iCs/>
          <w:sz w:val="18"/>
          <w:szCs w:val="18"/>
          <w:u w:val="single"/>
        </w:rPr>
        <w:t xml:space="preserve"> </w:t>
      </w:r>
      <w:r w:rsidR="0015308F">
        <w:rPr>
          <w:rFonts w:cs="Times New Roman"/>
          <w:b/>
          <w:bCs/>
          <w:i/>
          <w:iCs/>
          <w:sz w:val="18"/>
          <w:szCs w:val="18"/>
          <w:u w:val="single"/>
        </w:rPr>
        <w:t>149</w:t>
      </w:r>
      <w:r w:rsidR="003E7B2E" w:rsidRPr="00325F4F">
        <w:rPr>
          <w:rFonts w:cs="Times New Roman"/>
          <w:b/>
          <w:bCs/>
          <w:i/>
          <w:iCs/>
          <w:sz w:val="18"/>
          <w:szCs w:val="18"/>
          <w:u w:val="single"/>
        </w:rPr>
        <w:t>-</w:t>
      </w:r>
      <w:r w:rsidR="0015308F">
        <w:rPr>
          <w:rFonts w:cs="Times New Roman"/>
          <w:b/>
          <w:bCs/>
          <w:i/>
          <w:iCs/>
          <w:sz w:val="18"/>
          <w:szCs w:val="18"/>
          <w:u w:val="single"/>
        </w:rPr>
        <w:t>158</w:t>
      </w:r>
      <w:r w:rsidR="000D29C8" w:rsidRPr="00325F4F">
        <w:rPr>
          <w:rFonts w:cs="Times New Roman"/>
          <w:b/>
          <w:bCs/>
          <w:i/>
          <w:iCs/>
          <w:sz w:val="18"/>
          <w:szCs w:val="18"/>
          <w:u w:val="single"/>
        </w:rPr>
        <w:t>.</w:t>
      </w:r>
    </w:p>
    <w:p w:rsidR="006D7EB6" w:rsidRPr="00325F4F" w:rsidRDefault="006D7EB6" w:rsidP="006D7EB6">
      <w:pPr>
        <w:pStyle w:val="Title"/>
        <w:tabs>
          <w:tab w:val="left" w:pos="851"/>
        </w:tabs>
        <w:bidi w:val="0"/>
        <w:jc w:val="left"/>
        <w:rPr>
          <w:rFonts w:cs="Times New Roman"/>
          <w:b w:val="0"/>
          <w:bCs w:val="0"/>
          <w:noProof w:val="0"/>
          <w:sz w:val="12"/>
          <w:szCs w:val="12"/>
        </w:rPr>
      </w:pPr>
    </w:p>
    <w:p w:rsidR="0024106F" w:rsidRPr="00325F4F" w:rsidRDefault="0024106F" w:rsidP="0024106F">
      <w:pPr>
        <w:overflowPunct/>
        <w:autoSpaceDE/>
        <w:autoSpaceDN/>
        <w:adjustRightInd/>
        <w:textAlignment w:val="auto"/>
        <w:rPr>
          <w:rFonts w:cs="Traditional Arabic"/>
          <w:b/>
          <w:bCs/>
          <w:noProof/>
          <w:sz w:val="10"/>
          <w:szCs w:val="10"/>
        </w:rPr>
      </w:pPr>
    </w:p>
    <w:p w:rsidR="006868A7" w:rsidRPr="00325F4F" w:rsidRDefault="006868A7">
      <w:pPr>
        <w:overflowPunct/>
        <w:autoSpaceDE/>
        <w:autoSpaceDN/>
        <w:adjustRightInd/>
        <w:textAlignment w:val="auto"/>
        <w:rPr>
          <w:rFonts w:cs="Traditional Arabic"/>
          <w:b/>
          <w:bCs/>
          <w:noProof/>
          <w:sz w:val="10"/>
          <w:szCs w:val="10"/>
        </w:rPr>
      </w:pPr>
    </w:p>
    <w:p w:rsidR="00B56D61" w:rsidRPr="00325F4F" w:rsidRDefault="00B56D61" w:rsidP="00332048">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Establishment</w:t>
      </w:r>
      <w:r w:rsidR="00CC6ED1" w:rsidRPr="00325F4F">
        <w:rPr>
          <w:rFonts w:cs="Traditional Arabic"/>
          <w:sz w:val="20"/>
          <w:szCs w:val="20"/>
        </w:rPr>
        <w:t>s</w:t>
      </w:r>
    </w:p>
    <w:p w:rsidR="00C9796D" w:rsidRPr="00325F4F" w:rsidRDefault="00C76009" w:rsidP="003A2705">
      <w:pPr>
        <w:pStyle w:val="BodyText2"/>
        <w:numPr>
          <w:ilvl w:val="0"/>
          <w:numId w:val="2"/>
        </w:numPr>
        <w:overflowPunct/>
        <w:autoSpaceDE/>
        <w:autoSpaceDN/>
        <w:adjustRightInd/>
        <w:spacing w:after="120"/>
        <w:ind w:left="266" w:hanging="266"/>
        <w:textAlignment w:val="auto"/>
        <w:rPr>
          <w:noProof/>
        </w:rPr>
      </w:pPr>
      <w:r>
        <w:rPr>
          <w:noProof/>
        </w:rPr>
        <w:drawing>
          <wp:anchor distT="0" distB="0" distL="114300" distR="114300" simplePos="0" relativeHeight="251720704" behindDoc="0" locked="0" layoutInCell="1" allowOverlap="1">
            <wp:simplePos x="0" y="0"/>
            <wp:positionH relativeFrom="column">
              <wp:posOffset>1711325</wp:posOffset>
            </wp:positionH>
            <wp:positionV relativeFrom="paragraph">
              <wp:posOffset>359410</wp:posOffset>
            </wp:positionV>
            <wp:extent cx="3122930" cy="3761105"/>
            <wp:effectExtent l="38100" t="19050" r="20320" b="10795"/>
            <wp:wrapSquare wrapText="bothSides"/>
            <wp:docPr id="29" name="Picture 4" descr="G:\كتاب فلسطين الاحصائي السنوي 2019\الخرائط\Establishments_2019_En.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احصائي السنوي 2019\الخرائط\Establishments_2019_En.png"/>
                    <pic:cNvPicPr>
                      <a:picLocks noChangeAspect="1" noChangeArrowheads="1"/>
                    </pic:cNvPicPr>
                  </pic:nvPicPr>
                  <pic:blipFill>
                    <a:blip r:embed="rId24" cstate="print"/>
                    <a:srcRect l="10003" t="13360" r="10674" b="17718"/>
                    <a:stretch>
                      <a:fillRect/>
                    </a:stretch>
                  </pic:blipFill>
                  <pic:spPr bwMode="auto">
                    <a:xfrm>
                      <a:off x="0" y="0"/>
                      <a:ext cx="3122930" cy="3761105"/>
                    </a:xfrm>
                    <a:prstGeom prst="rect">
                      <a:avLst/>
                    </a:prstGeom>
                    <a:noFill/>
                    <a:ln w="9525">
                      <a:solidFill>
                        <a:schemeClr val="tx1"/>
                      </a:solidFill>
                      <a:miter lim="800000"/>
                      <a:headEnd/>
                      <a:tailEnd/>
                    </a:ln>
                  </pic:spPr>
                </pic:pic>
              </a:graphicData>
            </a:graphic>
          </wp:anchor>
        </w:drawing>
      </w:r>
      <w:r w:rsidR="00C9796D" w:rsidRPr="00325F4F">
        <w:rPr>
          <w:noProof/>
        </w:rPr>
        <w:t xml:space="preserve">In </w:t>
      </w:r>
      <w:r w:rsidR="003A2705">
        <w:rPr>
          <w:noProof/>
        </w:rPr>
        <w:t>2017</w:t>
      </w:r>
      <w:r w:rsidR="00D32D72" w:rsidRPr="00325F4F">
        <w:rPr>
          <w:noProof/>
        </w:rPr>
        <w:t>,</w:t>
      </w:r>
      <w:r w:rsidR="00C9796D" w:rsidRPr="00325F4F">
        <w:rPr>
          <w:noProof/>
        </w:rPr>
        <w:t xml:space="preserve"> establishments operating in the private sector, non-governmental organization sector and governmental companies in Palestine comprised 148,974 establishments: 101,517 establishments in the West Bank and 47,457 establishments in Gaza Strip. The number of employees in Palestine</w:t>
      </w:r>
      <w:r w:rsidR="00D32D72" w:rsidRPr="00325F4F">
        <w:rPr>
          <w:noProof/>
        </w:rPr>
        <w:t>,</w:t>
      </w:r>
      <w:r w:rsidR="00C9796D" w:rsidRPr="00325F4F">
        <w:rPr>
          <w:noProof/>
        </w:rPr>
        <w:t xml:space="preserve"> in </w:t>
      </w:r>
      <w:r w:rsidR="003A2705">
        <w:rPr>
          <w:noProof/>
        </w:rPr>
        <w:t>2017</w:t>
      </w:r>
      <w:r w:rsidR="00D32D72" w:rsidRPr="00325F4F">
        <w:rPr>
          <w:noProof/>
        </w:rPr>
        <w:t>,</w:t>
      </w:r>
      <w:r w:rsidR="00C9796D" w:rsidRPr="00325F4F">
        <w:rPr>
          <w:noProof/>
        </w:rPr>
        <w:t xml:space="preserve"> was 444,086: 309,848 employees in the West Bank and 134,238 employees in Gaza Strip.</w:t>
      </w:r>
    </w:p>
    <w:p w:rsidR="00C9796D" w:rsidRPr="00325F4F" w:rsidRDefault="00C9796D" w:rsidP="003A2705">
      <w:pPr>
        <w:pStyle w:val="BodyText2"/>
        <w:numPr>
          <w:ilvl w:val="0"/>
          <w:numId w:val="2"/>
        </w:numPr>
        <w:overflowPunct/>
        <w:autoSpaceDE/>
        <w:autoSpaceDN/>
        <w:adjustRightInd/>
        <w:spacing w:after="120"/>
        <w:ind w:left="266" w:hanging="266"/>
        <w:textAlignment w:val="auto"/>
        <w:rPr>
          <w:noProof/>
        </w:rPr>
      </w:pPr>
      <w:r w:rsidRPr="00325F4F">
        <w:rPr>
          <w:noProof/>
        </w:rPr>
        <w:t xml:space="preserve">The distribution of establishments operating in </w:t>
      </w:r>
      <w:r w:rsidR="003A2705">
        <w:rPr>
          <w:noProof/>
        </w:rPr>
        <w:t>2017</w:t>
      </w:r>
      <w:r w:rsidRPr="00325F4F">
        <w:rPr>
          <w:noProof/>
        </w:rPr>
        <w:t xml:space="preserve"> in Palestine in the private sector, non-governmental organization sector and governmental companies by economic activity showed that the activities of wholesale, retail trade and repairs came first with 81,203 establishments, manufacturing activities came in second place with 19,778 establishments, and establishments in other services activities totaled </w:t>
      </w:r>
      <w:r w:rsidRPr="00325F4F">
        <w:rPr>
          <w:noProof/>
        </w:rPr>
        <w:lastRenderedPageBreak/>
        <w:t xml:space="preserve">13,697 establishments. The smallest number was in the activities of households as employers of undifferentiated goods and service-producing activities of households for own use with </w:t>
      </w:r>
      <w:r w:rsidRPr="00325F4F">
        <w:rPr>
          <w:noProof/>
          <w:rtl/>
        </w:rPr>
        <w:t>5</w:t>
      </w:r>
      <w:r w:rsidRPr="00325F4F">
        <w:rPr>
          <w:noProof/>
        </w:rPr>
        <w:t xml:space="preserve"> establishments.  </w:t>
      </w:r>
    </w:p>
    <w:p w:rsidR="00451E35" w:rsidRPr="00325F4F" w:rsidRDefault="00451E35"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w:t>
      </w:r>
      <w:r w:rsidR="00B12511" w:rsidRPr="00325F4F">
        <w:rPr>
          <w:rFonts w:cs="Times New Roman"/>
          <w:b/>
          <w:bCs/>
          <w:i/>
          <w:iCs/>
          <w:sz w:val="18"/>
          <w:szCs w:val="18"/>
          <w:u w:val="single"/>
        </w:rPr>
        <w:t>e</w:t>
      </w:r>
      <w:r w:rsidRPr="00325F4F">
        <w:rPr>
          <w:rFonts w:cs="Times New Roman"/>
          <w:b/>
          <w:bCs/>
          <w:i/>
          <w:iCs/>
          <w:sz w:val="18"/>
          <w:szCs w:val="18"/>
          <w:u w:val="single"/>
        </w:rPr>
        <w:t>stablishment</w:t>
      </w:r>
      <w:r w:rsidR="00B12511" w:rsidRPr="00325F4F">
        <w:rPr>
          <w:rFonts w:cs="Times New Roman"/>
          <w:b/>
          <w:bCs/>
          <w:i/>
          <w:iCs/>
          <w:sz w:val="18"/>
          <w:szCs w:val="18"/>
          <w:u w:val="single"/>
        </w:rPr>
        <w:t>s</w:t>
      </w:r>
      <w:r w:rsidRPr="00325F4F">
        <w:rPr>
          <w:rFonts w:cs="Times New Roman"/>
          <w:b/>
          <w:bCs/>
          <w:i/>
          <w:iCs/>
          <w:sz w:val="18"/>
          <w:szCs w:val="18"/>
          <w:u w:val="single"/>
        </w:rPr>
        <w:t>, see the tables in chapter 1.1</w:t>
      </w:r>
      <w:r w:rsidR="00EE63BF" w:rsidRPr="00325F4F">
        <w:rPr>
          <w:rFonts w:cs="Times New Roman"/>
          <w:b/>
          <w:bCs/>
          <w:i/>
          <w:iCs/>
          <w:sz w:val="18"/>
          <w:szCs w:val="18"/>
          <w:u w:val="single"/>
        </w:rPr>
        <w:t>4</w:t>
      </w:r>
      <w:r w:rsidRPr="00325F4F">
        <w:rPr>
          <w:rFonts w:cs="Times New Roman"/>
          <w:b/>
          <w:bCs/>
          <w:i/>
          <w:iCs/>
          <w:sz w:val="18"/>
          <w:szCs w:val="18"/>
          <w:u w:val="single"/>
        </w:rPr>
        <w:t xml:space="preserve"> of the Arabic section, pages</w:t>
      </w:r>
      <w:r w:rsidRPr="00325F4F">
        <w:rPr>
          <w:rFonts w:cs="Times New Roman"/>
          <w:b/>
          <w:bCs/>
          <w:i/>
          <w:iCs/>
          <w:sz w:val="18"/>
          <w:szCs w:val="18"/>
          <w:u w:val="single"/>
          <w:rtl/>
        </w:rPr>
        <w:t xml:space="preserve"> </w:t>
      </w:r>
      <w:r w:rsidR="0015308F">
        <w:rPr>
          <w:rFonts w:cs="Times New Roman"/>
          <w:b/>
          <w:bCs/>
          <w:i/>
          <w:iCs/>
          <w:sz w:val="18"/>
          <w:szCs w:val="18"/>
          <w:u w:val="single"/>
        </w:rPr>
        <w:t>159</w:t>
      </w:r>
      <w:r w:rsidRPr="00325F4F">
        <w:rPr>
          <w:rFonts w:cs="Times New Roman"/>
          <w:b/>
          <w:bCs/>
          <w:i/>
          <w:iCs/>
          <w:sz w:val="18"/>
          <w:szCs w:val="18"/>
          <w:u w:val="single"/>
        </w:rPr>
        <w:t>-</w:t>
      </w:r>
      <w:r w:rsidR="0015308F">
        <w:rPr>
          <w:rFonts w:cs="Times New Roman"/>
          <w:b/>
          <w:bCs/>
          <w:i/>
          <w:iCs/>
          <w:sz w:val="18"/>
          <w:szCs w:val="18"/>
          <w:u w:val="single"/>
        </w:rPr>
        <w:t>164</w:t>
      </w:r>
      <w:r w:rsidRPr="00325F4F">
        <w:rPr>
          <w:rFonts w:cs="Times New Roman"/>
          <w:b/>
          <w:bCs/>
          <w:i/>
          <w:iCs/>
          <w:sz w:val="18"/>
          <w:szCs w:val="18"/>
          <w:u w:val="single"/>
        </w:rPr>
        <w:t>.</w:t>
      </w:r>
    </w:p>
    <w:p w:rsidR="00E619C1" w:rsidRPr="00325F4F" w:rsidRDefault="00E619C1" w:rsidP="00E619C1">
      <w:pPr>
        <w:pStyle w:val="Title"/>
        <w:bidi w:val="0"/>
        <w:jc w:val="left"/>
        <w:rPr>
          <w:rFonts w:cs="Times New Roman"/>
          <w:b w:val="0"/>
          <w:bCs w:val="0"/>
          <w:i/>
          <w:iCs/>
          <w:noProof w:val="0"/>
          <w:sz w:val="20"/>
          <w:szCs w:val="20"/>
          <w:u w:val="single"/>
        </w:rPr>
      </w:pPr>
    </w:p>
    <w:p w:rsidR="00CB09FF" w:rsidRPr="00325F4F" w:rsidRDefault="00CB09FF" w:rsidP="00CB09FF">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National Accounts</w:t>
      </w:r>
    </w:p>
    <w:p w:rsidR="00CB09FF" w:rsidRPr="00325F4F" w:rsidRDefault="00CB09FF" w:rsidP="00CB09FF">
      <w:pPr>
        <w:pStyle w:val="BodyText2"/>
        <w:numPr>
          <w:ilvl w:val="0"/>
          <w:numId w:val="2"/>
        </w:numPr>
        <w:overflowPunct/>
        <w:autoSpaceDE/>
        <w:autoSpaceDN/>
        <w:adjustRightInd/>
        <w:spacing w:after="120"/>
        <w:ind w:left="266" w:hanging="266"/>
        <w:textAlignment w:val="auto"/>
        <w:rPr>
          <w:noProof/>
        </w:rPr>
      </w:pPr>
      <w:r w:rsidRPr="00325F4F">
        <w:rPr>
          <w:noProof/>
        </w:rPr>
        <w:t xml:space="preserve">The value of the Gross Domestic Product in 2018 in palestine at Constant Prices was USD </w:t>
      </w:r>
      <w:r>
        <w:rPr>
          <w:rFonts w:hint="cs"/>
          <w:noProof/>
          <w:rtl/>
        </w:rPr>
        <w:t>15</w:t>
      </w:r>
      <w:r>
        <w:rPr>
          <w:noProof/>
        </w:rPr>
        <w:t>,</w:t>
      </w:r>
      <w:r>
        <w:rPr>
          <w:rFonts w:hint="cs"/>
          <w:noProof/>
          <w:rtl/>
        </w:rPr>
        <w:t>616.2</w:t>
      </w:r>
      <w:r>
        <w:rPr>
          <w:noProof/>
        </w:rPr>
        <w:t xml:space="preserve"> </w:t>
      </w:r>
      <w:r w:rsidRPr="00325F4F">
        <w:rPr>
          <w:noProof/>
        </w:rPr>
        <w:t xml:space="preserve">million, with an increase of  </w:t>
      </w:r>
      <w:r>
        <w:rPr>
          <w:rFonts w:ascii="Simplified Arabic" w:hAnsi="Simplified Arabic"/>
        </w:rPr>
        <w:t>1.2</w:t>
      </w:r>
      <w:r w:rsidRPr="00325F4F">
        <w:rPr>
          <w:noProof/>
        </w:rPr>
        <w:t>% compared with 2017.</w:t>
      </w:r>
    </w:p>
    <w:p w:rsidR="00CB09FF" w:rsidRPr="00325F4F" w:rsidRDefault="00CB09FF" w:rsidP="00CB09FF">
      <w:pPr>
        <w:pStyle w:val="BodyText2"/>
        <w:numPr>
          <w:ilvl w:val="0"/>
          <w:numId w:val="2"/>
        </w:numPr>
        <w:overflowPunct/>
        <w:autoSpaceDE/>
        <w:autoSpaceDN/>
        <w:adjustRightInd/>
        <w:spacing w:after="120"/>
        <w:ind w:left="266" w:hanging="266"/>
        <w:textAlignment w:val="auto"/>
        <w:rPr>
          <w:noProof/>
        </w:rPr>
      </w:pPr>
      <w:r w:rsidRPr="00325F4F">
        <w:rPr>
          <w:noProof/>
        </w:rPr>
        <w:t xml:space="preserve">GDP per capita at Constant Prices was USD </w:t>
      </w:r>
      <w:r>
        <w:rPr>
          <w:rFonts w:ascii="Simplified Arabic" w:hAnsi="Simplified Arabic"/>
        </w:rPr>
        <w:t>3,417.7</w:t>
      </w:r>
      <w:r w:rsidRPr="007F3FE9">
        <w:rPr>
          <w:rFonts w:ascii="Simplified Arabic" w:hAnsi="Simplified Arabic"/>
          <w:rtl/>
        </w:rPr>
        <w:t xml:space="preserve"> </w:t>
      </w:r>
      <w:r w:rsidRPr="00325F4F">
        <w:rPr>
          <w:noProof/>
        </w:rPr>
        <w:t xml:space="preserve"> in 2018, a dicrease of </w:t>
      </w:r>
      <w:r w:rsidRPr="00B813D6">
        <w:rPr>
          <w:rFonts w:hint="cs"/>
          <w:noProof/>
          <w:rtl/>
        </w:rPr>
        <w:t>1.</w:t>
      </w:r>
      <w:r>
        <w:rPr>
          <w:noProof/>
        </w:rPr>
        <w:t>3</w:t>
      </w:r>
      <w:r w:rsidRPr="00B813D6">
        <w:rPr>
          <w:rFonts w:hint="cs"/>
          <w:noProof/>
          <w:rtl/>
        </w:rPr>
        <w:t>%</w:t>
      </w:r>
      <w:r>
        <w:rPr>
          <w:noProof/>
        </w:rPr>
        <w:t xml:space="preserve"> </w:t>
      </w:r>
      <w:r w:rsidRPr="00325F4F">
        <w:rPr>
          <w:noProof/>
        </w:rPr>
        <w:t>compared with 2017.</w:t>
      </w:r>
    </w:p>
    <w:p w:rsidR="00CB09FF" w:rsidRPr="00325F4F" w:rsidRDefault="00CB09FF" w:rsidP="00CB09FF">
      <w:pPr>
        <w:pStyle w:val="BodyText2"/>
        <w:numPr>
          <w:ilvl w:val="0"/>
          <w:numId w:val="2"/>
        </w:numPr>
        <w:overflowPunct/>
        <w:autoSpaceDE/>
        <w:autoSpaceDN/>
        <w:adjustRightInd/>
        <w:spacing w:after="120"/>
        <w:ind w:left="266" w:hanging="266"/>
        <w:textAlignment w:val="auto"/>
        <w:rPr>
          <w:noProof/>
        </w:rPr>
      </w:pPr>
      <w:r w:rsidRPr="00325F4F">
        <w:rPr>
          <w:noProof/>
        </w:rPr>
        <w:t xml:space="preserve">Gross national income totaled USD </w:t>
      </w:r>
      <w:r>
        <w:rPr>
          <w:noProof/>
        </w:rPr>
        <w:t>18,121.5</w:t>
      </w:r>
      <w:r w:rsidRPr="00325F4F">
        <w:rPr>
          <w:rFonts w:ascii="Simplified Arabic" w:hAnsi="Simplified Arabic" w:hint="cs"/>
          <w:rtl/>
        </w:rPr>
        <w:t xml:space="preserve"> </w:t>
      </w:r>
      <w:r w:rsidRPr="00325F4F">
        <w:rPr>
          <w:noProof/>
        </w:rPr>
        <w:t xml:space="preserve"> million in 2018 at Constant Prices, GNI per capita was USD </w:t>
      </w:r>
      <w:r>
        <w:rPr>
          <w:noProof/>
        </w:rPr>
        <w:t xml:space="preserve">3,966.1 </w:t>
      </w:r>
      <w:r w:rsidRPr="00325F4F">
        <w:rPr>
          <w:noProof/>
        </w:rPr>
        <w:t>in the same year.</w:t>
      </w:r>
    </w:p>
    <w:p w:rsidR="00CB09FF" w:rsidRPr="00325F4F" w:rsidRDefault="00CB09FF" w:rsidP="00CB09FF">
      <w:pPr>
        <w:pStyle w:val="BodyText2"/>
        <w:numPr>
          <w:ilvl w:val="0"/>
          <w:numId w:val="2"/>
        </w:numPr>
        <w:overflowPunct/>
        <w:autoSpaceDE/>
        <w:autoSpaceDN/>
        <w:adjustRightInd/>
        <w:spacing w:after="120"/>
        <w:ind w:left="266" w:hanging="266"/>
        <w:textAlignment w:val="auto"/>
        <w:rPr>
          <w:noProof/>
        </w:rPr>
      </w:pPr>
      <w:r w:rsidRPr="00325F4F">
        <w:rPr>
          <w:noProof/>
        </w:rPr>
        <w:t xml:space="preserve">Gross disposable income totaled USD </w:t>
      </w:r>
      <w:r>
        <w:rPr>
          <w:noProof/>
        </w:rPr>
        <w:t xml:space="preserve">19,608.6 </w:t>
      </w:r>
      <w:r w:rsidRPr="00325F4F">
        <w:rPr>
          <w:noProof/>
        </w:rPr>
        <w:t xml:space="preserve">million in 2018 at Constant Prices, GNDI per capita was USD </w:t>
      </w:r>
      <w:r>
        <w:rPr>
          <w:noProof/>
        </w:rPr>
        <w:t xml:space="preserve">4,291.5 </w:t>
      </w:r>
      <w:r w:rsidRPr="00325F4F">
        <w:rPr>
          <w:noProof/>
        </w:rPr>
        <w:t>in 2018.</w:t>
      </w:r>
    </w:p>
    <w:p w:rsidR="00CB09FF" w:rsidRPr="00325F4F" w:rsidRDefault="00CB09FF" w:rsidP="00CB09FF">
      <w:pPr>
        <w:ind w:left="360"/>
        <w:jc w:val="center"/>
        <w:rPr>
          <w:rFonts w:cs="Traditional Arabic"/>
          <w:b/>
          <w:bCs/>
        </w:rPr>
      </w:pPr>
      <w:r w:rsidRPr="00325F4F">
        <w:rPr>
          <w:rFonts w:cs="Traditional Arabic"/>
          <w:b/>
          <w:bCs/>
        </w:rPr>
        <w:t>Gross Domestic Product (GDP) in Palestine at Constant Prices by Region</w:t>
      </w:r>
    </w:p>
    <w:p w:rsidR="00CB09FF" w:rsidRPr="00325F4F" w:rsidRDefault="00CB09FF" w:rsidP="00CB09FF">
      <w:pPr>
        <w:ind w:left="360"/>
        <w:jc w:val="center"/>
        <w:rPr>
          <w:rFonts w:cs="Traditional Arabic"/>
          <w:b/>
          <w:bCs/>
        </w:rPr>
      </w:pPr>
      <w:r w:rsidRPr="00325F4F">
        <w:rPr>
          <w:rFonts w:cs="Traditional Arabic"/>
          <w:b/>
          <w:bCs/>
        </w:rPr>
        <w:t>(Value in USD Billion), 2016-2018</w:t>
      </w:r>
    </w:p>
    <w:p w:rsidR="00CB09FF" w:rsidRPr="00325F4F" w:rsidRDefault="00CB09FF" w:rsidP="00CB09FF">
      <w:pPr>
        <w:ind w:left="360"/>
        <w:jc w:val="center"/>
        <w:rPr>
          <w:rFonts w:cs="Traditional Arabic"/>
          <w:b/>
          <w:bCs/>
          <w:sz w:val="10"/>
          <w:szCs w:val="10"/>
        </w:rPr>
      </w:pPr>
    </w:p>
    <w:p w:rsidR="00CB09FF" w:rsidRPr="00325F4F" w:rsidRDefault="00CB09FF" w:rsidP="00CB09FF">
      <w:pPr>
        <w:pStyle w:val="ListParagraph"/>
        <w:bidi w:val="0"/>
        <w:ind w:left="0"/>
        <w:jc w:val="center"/>
        <w:rPr>
          <w:rFonts w:cs="Traditional Arabic"/>
          <w:noProof w:val="0"/>
          <w:sz w:val="20"/>
        </w:rPr>
      </w:pPr>
      <w:r w:rsidRPr="00325F4F">
        <w:rPr>
          <w:rFonts w:cs="Traditional Arabic"/>
          <w:sz w:val="20"/>
          <w:bdr w:val="single" w:sz="4" w:space="0" w:color="auto"/>
        </w:rPr>
        <w:drawing>
          <wp:inline distT="0" distB="0" distL="0" distR="0">
            <wp:extent cx="4473515" cy="1639019"/>
            <wp:effectExtent l="0" t="0" r="0" b="0"/>
            <wp:docPr id="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B09FF" w:rsidRPr="00325F4F" w:rsidRDefault="00CB09FF" w:rsidP="00CB09FF">
      <w:pPr>
        <w:pStyle w:val="ListParagraph"/>
        <w:bidi w:val="0"/>
        <w:ind w:left="0"/>
        <w:jc w:val="lowKashida"/>
        <w:rPr>
          <w:rFonts w:cs="Times New Roman"/>
          <w:b/>
          <w:bCs/>
          <w:i/>
          <w:iCs/>
          <w:sz w:val="18"/>
          <w:szCs w:val="18"/>
          <w:u w:val="single"/>
        </w:rPr>
      </w:pPr>
      <w:r w:rsidRPr="00325F4F">
        <w:rPr>
          <w:rFonts w:ascii="Arial" w:hAnsi="Arial"/>
          <w:snapToGrid w:val="0"/>
          <w:sz w:val="16"/>
          <w:szCs w:val="16"/>
        </w:rPr>
        <w:t xml:space="preserve">     Note: 2015 is the base year</w:t>
      </w:r>
      <w:r>
        <w:rPr>
          <w:rFonts w:ascii="Arial" w:hAnsi="Arial"/>
          <w:snapToGrid w:val="0"/>
          <w:sz w:val="16"/>
          <w:szCs w:val="16"/>
        </w:rPr>
        <w:t>.</w:t>
      </w:r>
    </w:p>
    <w:p w:rsidR="00CF654D" w:rsidRPr="00325F4F" w:rsidRDefault="00CF654D" w:rsidP="0015308F">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national accounts, see the tables in chapter 1.15 of the Arabic section, pages </w:t>
      </w:r>
      <w:r w:rsidR="0015308F">
        <w:rPr>
          <w:rFonts w:cs="Times New Roman"/>
          <w:b/>
          <w:bCs/>
          <w:i/>
          <w:iCs/>
          <w:sz w:val="18"/>
          <w:szCs w:val="18"/>
          <w:u w:val="single"/>
        </w:rPr>
        <w:t>165</w:t>
      </w:r>
      <w:r w:rsidRPr="00325F4F">
        <w:rPr>
          <w:rFonts w:cs="Times New Roman"/>
          <w:b/>
          <w:bCs/>
          <w:i/>
          <w:iCs/>
          <w:sz w:val="18"/>
          <w:szCs w:val="18"/>
          <w:u w:val="single"/>
        </w:rPr>
        <w:t>-</w:t>
      </w:r>
      <w:r w:rsidR="0015308F">
        <w:rPr>
          <w:rFonts w:cs="Times New Roman"/>
          <w:b/>
          <w:bCs/>
          <w:i/>
          <w:iCs/>
          <w:sz w:val="18"/>
          <w:szCs w:val="18"/>
          <w:u w:val="single"/>
        </w:rPr>
        <w:t>172</w:t>
      </w:r>
      <w:r w:rsidRPr="00325F4F">
        <w:rPr>
          <w:rFonts w:cs="Times New Roman"/>
          <w:b/>
          <w:bCs/>
          <w:i/>
          <w:iCs/>
          <w:sz w:val="18"/>
          <w:szCs w:val="18"/>
          <w:u w:val="single"/>
        </w:rPr>
        <w:t>.</w:t>
      </w:r>
    </w:p>
    <w:p w:rsidR="00CF654D" w:rsidRPr="00325F4F" w:rsidRDefault="00CF654D" w:rsidP="00CF654D">
      <w:pPr>
        <w:pStyle w:val="ListParagraph"/>
        <w:bidi w:val="0"/>
        <w:ind w:left="0"/>
        <w:jc w:val="lowKashida"/>
        <w:rPr>
          <w:rFonts w:cs="Times New Roman"/>
          <w:i/>
          <w:iCs/>
          <w:sz w:val="20"/>
          <w:u w:val="single"/>
        </w:rPr>
      </w:pPr>
    </w:p>
    <w:p w:rsidR="00CF654D" w:rsidRPr="00325F4F" w:rsidRDefault="00CF654D" w:rsidP="00CF654D">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 xml:space="preserve">Prices and Price Indices </w:t>
      </w:r>
    </w:p>
    <w:p w:rsidR="00CF654D" w:rsidRPr="00325F4F" w:rsidRDefault="00CF654D" w:rsidP="00CF654D">
      <w:pPr>
        <w:pStyle w:val="Title"/>
        <w:bidi w:val="0"/>
        <w:ind w:left="-210" w:firstLine="210"/>
        <w:jc w:val="left"/>
        <w:rPr>
          <w:rFonts w:cs="Traditional Arabic"/>
          <w:sz w:val="20"/>
          <w:szCs w:val="20"/>
        </w:rPr>
      </w:pPr>
      <w:r w:rsidRPr="00325F4F">
        <w:rPr>
          <w:rFonts w:cs="Traditional Arabic"/>
          <w:sz w:val="20"/>
          <w:szCs w:val="20"/>
        </w:rPr>
        <w:t xml:space="preserve">16.1 Changes in Consumer Price Indices in 2018 compared with 2017: </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Consumer Price Index in Palestine decreased by 0.19%.</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Consumer Price Index in Gaza Strip decreased by 1.34%.</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Consumer Price Index in Jerusalem J1 increased by 1.04%.</w:t>
      </w:r>
    </w:p>
    <w:p w:rsidR="00CF654D"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Consumer Price Index in the West Bank slightly increased by 0.41%.</w:t>
      </w:r>
    </w:p>
    <w:p w:rsidR="00841227" w:rsidRDefault="00841227" w:rsidP="00841227">
      <w:pPr>
        <w:pStyle w:val="BodyText2"/>
        <w:overflowPunct/>
        <w:autoSpaceDE/>
        <w:autoSpaceDN/>
        <w:adjustRightInd/>
        <w:spacing w:after="120"/>
        <w:ind w:left="266"/>
        <w:textAlignment w:val="auto"/>
        <w:rPr>
          <w:noProof/>
        </w:rPr>
      </w:pPr>
    </w:p>
    <w:p w:rsidR="00841227" w:rsidRPr="00325F4F" w:rsidRDefault="00841227" w:rsidP="00841227">
      <w:pPr>
        <w:pStyle w:val="BodyText2"/>
        <w:overflowPunct/>
        <w:autoSpaceDE/>
        <w:autoSpaceDN/>
        <w:adjustRightInd/>
        <w:spacing w:after="120"/>
        <w:ind w:left="266"/>
        <w:textAlignment w:val="auto"/>
        <w:rPr>
          <w:noProof/>
        </w:rPr>
      </w:pPr>
    </w:p>
    <w:p w:rsidR="00CB09FF" w:rsidRDefault="00CB09FF">
      <w:pPr>
        <w:overflowPunct/>
        <w:autoSpaceDE/>
        <w:autoSpaceDN/>
        <w:adjustRightInd/>
        <w:textAlignment w:val="auto"/>
        <w:rPr>
          <w:rFonts w:cs="Traditional Arabic"/>
          <w:b/>
          <w:bCs/>
          <w:noProof/>
        </w:rPr>
      </w:pPr>
      <w:r>
        <w:rPr>
          <w:rFonts w:cs="Traditional Arabic"/>
        </w:rPr>
        <w:br w:type="page"/>
      </w:r>
    </w:p>
    <w:p w:rsidR="00CF654D" w:rsidRPr="00325F4F" w:rsidRDefault="00CF654D" w:rsidP="00CF654D">
      <w:pPr>
        <w:pStyle w:val="Title"/>
        <w:bidi w:val="0"/>
        <w:ind w:left="-210" w:firstLine="210"/>
        <w:jc w:val="left"/>
        <w:rPr>
          <w:rFonts w:cs="Traditional Arabic"/>
          <w:sz w:val="20"/>
          <w:szCs w:val="20"/>
        </w:rPr>
      </w:pPr>
      <w:r w:rsidRPr="00325F4F">
        <w:rPr>
          <w:rFonts w:cs="Traditional Arabic"/>
          <w:sz w:val="20"/>
          <w:szCs w:val="20"/>
        </w:rPr>
        <w:lastRenderedPageBreak/>
        <w:t>16.2 Changes in Producer Price Indices in 2018 compared with 2017:</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total Producer Price Index increased by 2.22%.</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Producer Price Index for locally consumed products increased by 2.51%.</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Producer Price Index for exported products decreased by 0.34%.</w:t>
      </w:r>
    </w:p>
    <w:p w:rsidR="00CF654D" w:rsidRPr="00325F4F" w:rsidRDefault="00CF654D" w:rsidP="00CF654D">
      <w:pPr>
        <w:pStyle w:val="Title"/>
        <w:bidi w:val="0"/>
        <w:ind w:left="-210" w:firstLine="210"/>
        <w:jc w:val="left"/>
        <w:rPr>
          <w:rFonts w:cs="Traditional Arabic"/>
          <w:sz w:val="20"/>
          <w:szCs w:val="20"/>
        </w:rPr>
      </w:pPr>
      <w:r w:rsidRPr="00325F4F">
        <w:rPr>
          <w:rFonts w:cs="Traditional Arabic"/>
          <w:sz w:val="20"/>
          <w:szCs w:val="20"/>
        </w:rPr>
        <w:t>16.3 Changes in Wholesale Price Indices in 2018 compared with 2017:</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total Wholesale Price Index increased by 1.05%.</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Wholesale Price Index for local products increased by 1.39%.</w:t>
      </w:r>
    </w:p>
    <w:p w:rsidR="00CF654D" w:rsidRPr="00325F4F" w:rsidRDefault="00CF654D" w:rsidP="00CF654D">
      <w:pPr>
        <w:pStyle w:val="BodyText2"/>
        <w:numPr>
          <w:ilvl w:val="0"/>
          <w:numId w:val="2"/>
        </w:numPr>
        <w:overflowPunct/>
        <w:autoSpaceDE/>
        <w:autoSpaceDN/>
        <w:adjustRightInd/>
        <w:spacing w:after="120"/>
        <w:ind w:left="266" w:hanging="266"/>
        <w:textAlignment w:val="auto"/>
        <w:rPr>
          <w:noProof/>
        </w:rPr>
      </w:pPr>
      <w:r w:rsidRPr="00325F4F">
        <w:rPr>
          <w:noProof/>
        </w:rPr>
        <w:t>The Wholesale Price Index for imported products increased by 0.20%.</w:t>
      </w:r>
    </w:p>
    <w:p w:rsidR="00CF654D" w:rsidRPr="00325F4F" w:rsidRDefault="00CF654D"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prices and price indices, see the tables in chapter 1.16 of the Arabic section, pages</w:t>
      </w:r>
      <w:r w:rsidRPr="00325F4F">
        <w:rPr>
          <w:rFonts w:cs="Times New Roman"/>
          <w:b/>
          <w:bCs/>
          <w:i/>
          <w:iCs/>
          <w:sz w:val="18"/>
          <w:szCs w:val="18"/>
          <w:u w:val="single"/>
          <w:rtl/>
        </w:rPr>
        <w:t xml:space="preserve"> </w:t>
      </w:r>
      <w:r w:rsidR="00426EE0">
        <w:rPr>
          <w:rFonts w:cs="Times New Roman"/>
          <w:b/>
          <w:bCs/>
          <w:i/>
          <w:iCs/>
          <w:sz w:val="18"/>
          <w:szCs w:val="18"/>
          <w:u w:val="single"/>
        </w:rPr>
        <w:t>173</w:t>
      </w:r>
      <w:r w:rsidRPr="00325F4F">
        <w:rPr>
          <w:rFonts w:cs="Times New Roman"/>
          <w:b/>
          <w:bCs/>
          <w:i/>
          <w:iCs/>
          <w:sz w:val="18"/>
          <w:szCs w:val="18"/>
          <w:u w:val="single"/>
        </w:rPr>
        <w:t>-</w:t>
      </w:r>
      <w:r w:rsidR="00426EE0">
        <w:rPr>
          <w:rFonts w:cs="Times New Roman"/>
          <w:b/>
          <w:bCs/>
          <w:i/>
          <w:iCs/>
          <w:sz w:val="18"/>
          <w:szCs w:val="18"/>
          <w:u w:val="single"/>
        </w:rPr>
        <w:t>184</w:t>
      </w:r>
      <w:r w:rsidRPr="00325F4F">
        <w:rPr>
          <w:rFonts w:cs="Times New Roman"/>
          <w:b/>
          <w:bCs/>
          <w:i/>
          <w:iCs/>
          <w:sz w:val="18"/>
          <w:szCs w:val="18"/>
          <w:u w:val="single"/>
        </w:rPr>
        <w:t>.</w:t>
      </w:r>
    </w:p>
    <w:p w:rsidR="006064E5" w:rsidRPr="00325F4F" w:rsidRDefault="006064E5" w:rsidP="006064E5">
      <w:pPr>
        <w:pStyle w:val="ListParagraph"/>
        <w:bidi w:val="0"/>
        <w:ind w:left="0"/>
        <w:jc w:val="lowKashida"/>
        <w:rPr>
          <w:rFonts w:cs="Times New Roman"/>
          <w:i/>
          <w:iCs/>
          <w:sz w:val="20"/>
          <w:u w:val="single"/>
        </w:rPr>
      </w:pPr>
    </w:p>
    <w:p w:rsidR="00AF1104" w:rsidRPr="00325F4F" w:rsidRDefault="00AF1104" w:rsidP="00AF1104">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Construction</w:t>
      </w:r>
    </w:p>
    <w:p w:rsidR="00AF1104" w:rsidRPr="00325F4F" w:rsidRDefault="00AF1104" w:rsidP="00AF1104">
      <w:pPr>
        <w:pStyle w:val="Title"/>
        <w:bidi w:val="0"/>
        <w:ind w:left="-210" w:firstLine="210"/>
        <w:jc w:val="left"/>
        <w:rPr>
          <w:rFonts w:cs="Traditional Arabic"/>
          <w:sz w:val="20"/>
          <w:szCs w:val="20"/>
        </w:rPr>
      </w:pPr>
      <w:r w:rsidRPr="00325F4F">
        <w:rPr>
          <w:rFonts w:cs="Traditional Arabic"/>
          <w:sz w:val="20"/>
          <w:szCs w:val="20"/>
        </w:rPr>
        <w:t>17.1 Enterprises in Operation</w:t>
      </w:r>
    </w:p>
    <w:p w:rsidR="003A2705" w:rsidRPr="003A2705" w:rsidRDefault="00AF1104" w:rsidP="000D6182">
      <w:pPr>
        <w:pStyle w:val="BodyText2"/>
        <w:numPr>
          <w:ilvl w:val="0"/>
          <w:numId w:val="2"/>
        </w:numPr>
        <w:overflowPunct/>
        <w:autoSpaceDE/>
        <w:autoSpaceDN/>
        <w:adjustRightInd/>
        <w:spacing w:after="120"/>
        <w:ind w:left="266" w:firstLineChars="100" w:firstLine="200"/>
        <w:textAlignment w:val="auto"/>
        <w:rPr>
          <w:rFonts w:ascii="Arial" w:hAnsi="Arial" w:cs="Arial"/>
          <w:sz w:val="18"/>
          <w:szCs w:val="18"/>
        </w:rPr>
      </w:pPr>
      <w:r w:rsidRPr="00325F4F">
        <w:rPr>
          <w:noProof/>
        </w:rPr>
        <w:t xml:space="preserve">There were </w:t>
      </w:r>
      <w:r w:rsidRPr="00325F4F">
        <w:rPr>
          <w:noProof/>
          <w:rtl/>
        </w:rPr>
        <w:t>6</w:t>
      </w:r>
      <w:r w:rsidRPr="00325F4F">
        <w:rPr>
          <w:noProof/>
        </w:rPr>
        <w:t xml:space="preserve">61 enterprises engaged in this </w:t>
      </w:r>
      <w:r w:rsidR="00A15515">
        <w:rPr>
          <w:noProof/>
        </w:rPr>
        <w:t>activity</w:t>
      </w:r>
      <w:r w:rsidRPr="00325F4F">
        <w:rPr>
          <w:noProof/>
        </w:rPr>
        <w:t xml:space="preserve"> in Palestine in 2018.</w:t>
      </w:r>
    </w:p>
    <w:p w:rsidR="00AF1104" w:rsidRPr="003A2705" w:rsidRDefault="00AF1104" w:rsidP="000D6182">
      <w:pPr>
        <w:pStyle w:val="BodyText2"/>
        <w:numPr>
          <w:ilvl w:val="0"/>
          <w:numId w:val="2"/>
        </w:numPr>
        <w:overflowPunct/>
        <w:autoSpaceDE/>
        <w:autoSpaceDN/>
        <w:adjustRightInd/>
        <w:spacing w:after="120"/>
        <w:ind w:left="266" w:firstLineChars="100" w:firstLine="200"/>
        <w:textAlignment w:val="auto"/>
        <w:rPr>
          <w:rFonts w:ascii="Arial" w:hAnsi="Arial" w:cs="Arial"/>
          <w:sz w:val="18"/>
          <w:szCs w:val="18"/>
        </w:rPr>
      </w:pPr>
      <w:r w:rsidRPr="003A2705">
        <w:rPr>
          <w:noProof/>
        </w:rPr>
        <w:t xml:space="preserve">There were 10,128 employed persons in this </w:t>
      </w:r>
      <w:r w:rsidR="00A15515">
        <w:rPr>
          <w:noProof/>
        </w:rPr>
        <w:t>activity</w:t>
      </w:r>
      <w:r w:rsidRPr="003A2705">
        <w:rPr>
          <w:noProof/>
        </w:rPr>
        <w:t xml:space="preserve"> in 2018.</w:t>
      </w:r>
      <w:r w:rsidRPr="003A2705">
        <w:rPr>
          <w:rFonts w:ascii="Arial" w:hAnsi="Arial" w:cs="Arial"/>
          <w:sz w:val="18"/>
          <w:szCs w:val="18"/>
        </w:rPr>
        <w:t xml:space="preserve"> </w:t>
      </w:r>
    </w:p>
    <w:p w:rsidR="00AF1104" w:rsidRPr="00325F4F" w:rsidRDefault="00AF1104" w:rsidP="000D6182">
      <w:pPr>
        <w:pStyle w:val="BodyText2"/>
        <w:numPr>
          <w:ilvl w:val="0"/>
          <w:numId w:val="2"/>
        </w:numPr>
        <w:overflowPunct/>
        <w:autoSpaceDE/>
        <w:autoSpaceDN/>
        <w:adjustRightInd/>
        <w:spacing w:after="120"/>
        <w:ind w:left="266" w:hanging="266"/>
        <w:textAlignment w:val="auto"/>
        <w:rPr>
          <w:noProof/>
        </w:rPr>
      </w:pPr>
      <w:r w:rsidRPr="00325F4F">
        <w:rPr>
          <w:noProof/>
        </w:rPr>
        <w:t xml:space="preserve">The value of the enterprises output in the construction </w:t>
      </w:r>
      <w:r w:rsidR="00A15515">
        <w:rPr>
          <w:noProof/>
        </w:rPr>
        <w:t>activity</w:t>
      </w:r>
      <w:r w:rsidRPr="00325F4F">
        <w:rPr>
          <w:noProof/>
        </w:rPr>
        <w:t xml:space="preserve"> was USD 735.3 million; intermediate consumption totaled USD 377.3 million; and the value added was USD 358.0</w:t>
      </w:r>
      <w:r w:rsidRPr="00325F4F">
        <w:rPr>
          <w:noProof/>
          <w:rtl/>
        </w:rPr>
        <w:t xml:space="preserve"> </w:t>
      </w:r>
      <w:r w:rsidRPr="00325F4F">
        <w:rPr>
          <w:noProof/>
        </w:rPr>
        <w:t>million in 2018.</w:t>
      </w:r>
    </w:p>
    <w:p w:rsidR="006064E5" w:rsidRPr="00325F4F" w:rsidRDefault="006064E5" w:rsidP="006064E5">
      <w:pPr>
        <w:pStyle w:val="BodyText"/>
        <w:overflowPunct/>
        <w:autoSpaceDE/>
        <w:adjustRightInd/>
        <w:ind w:left="142"/>
        <w:jc w:val="lowKashida"/>
        <w:textAlignment w:val="auto"/>
        <w:rPr>
          <w:sz w:val="10"/>
          <w:szCs w:val="10"/>
          <w:rtl/>
        </w:rPr>
      </w:pPr>
    </w:p>
    <w:p w:rsidR="009E31F7" w:rsidRPr="00325F4F" w:rsidRDefault="009E31F7" w:rsidP="009E31F7">
      <w:pPr>
        <w:pStyle w:val="Title"/>
        <w:bidi w:val="0"/>
        <w:ind w:left="-210" w:firstLine="210"/>
        <w:jc w:val="left"/>
        <w:rPr>
          <w:rFonts w:cs="Traditional Arabic"/>
          <w:sz w:val="20"/>
          <w:szCs w:val="20"/>
        </w:rPr>
      </w:pPr>
      <w:r w:rsidRPr="00325F4F">
        <w:rPr>
          <w:rFonts w:cs="Traditional Arabic"/>
          <w:sz w:val="20"/>
          <w:szCs w:val="20"/>
        </w:rPr>
        <w:t>17.2 Building Licenses</w:t>
      </w:r>
    </w:p>
    <w:p w:rsidR="009E31F7" w:rsidRPr="00325F4F" w:rsidRDefault="009E31F7" w:rsidP="009E31F7">
      <w:pPr>
        <w:pStyle w:val="BodyText2"/>
        <w:numPr>
          <w:ilvl w:val="0"/>
          <w:numId w:val="2"/>
        </w:numPr>
        <w:overflowPunct/>
        <w:autoSpaceDE/>
        <w:autoSpaceDN/>
        <w:adjustRightInd/>
        <w:spacing w:after="120"/>
        <w:ind w:left="266" w:hanging="266"/>
        <w:textAlignment w:val="auto"/>
        <w:rPr>
          <w:noProof/>
        </w:rPr>
      </w:pPr>
      <w:r w:rsidRPr="00325F4F">
        <w:rPr>
          <w:noProof/>
        </w:rPr>
        <w:t xml:space="preserve">The total number of building licenses issued in 2018 increased by 7.1% and the new units decreased by 1.3% compared with </w:t>
      </w:r>
      <w:bookmarkStart w:id="0" w:name="OLE_LINK12"/>
      <w:r w:rsidRPr="00325F4F">
        <w:rPr>
          <w:noProof/>
        </w:rPr>
        <w:t xml:space="preserve">2017. </w:t>
      </w:r>
      <w:bookmarkEnd w:id="0"/>
    </w:p>
    <w:p w:rsidR="006064E5" w:rsidRPr="00325F4F" w:rsidRDefault="006064E5"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w:t>
      </w:r>
      <w:r w:rsidR="003C27F3" w:rsidRPr="00325F4F">
        <w:rPr>
          <w:rFonts w:cs="Times New Roman"/>
          <w:b/>
          <w:bCs/>
          <w:i/>
          <w:iCs/>
          <w:sz w:val="18"/>
          <w:szCs w:val="18"/>
          <w:u w:val="single"/>
        </w:rPr>
        <w:t>s</w:t>
      </w:r>
      <w:r w:rsidRPr="00325F4F">
        <w:rPr>
          <w:rFonts w:cs="Times New Roman"/>
          <w:b/>
          <w:bCs/>
          <w:i/>
          <w:iCs/>
          <w:sz w:val="18"/>
          <w:szCs w:val="18"/>
          <w:u w:val="single"/>
        </w:rPr>
        <w:t xml:space="preserve"> on construction, see the tables in chapter 1.</w:t>
      </w:r>
      <w:r w:rsidR="00DF5F9C" w:rsidRPr="00325F4F">
        <w:rPr>
          <w:rFonts w:cs="Times New Roman"/>
          <w:b/>
          <w:bCs/>
          <w:i/>
          <w:iCs/>
          <w:sz w:val="18"/>
          <w:szCs w:val="18"/>
          <w:u w:val="single"/>
        </w:rPr>
        <w:t>1</w:t>
      </w:r>
      <w:r w:rsidR="00EE63BF" w:rsidRPr="00325F4F">
        <w:rPr>
          <w:rFonts w:cs="Times New Roman"/>
          <w:b/>
          <w:bCs/>
          <w:i/>
          <w:iCs/>
          <w:sz w:val="18"/>
          <w:szCs w:val="18"/>
          <w:u w:val="single"/>
        </w:rPr>
        <w:t>7</w:t>
      </w:r>
      <w:r w:rsidR="00DF5F9C" w:rsidRPr="00325F4F">
        <w:rPr>
          <w:rFonts w:cs="Times New Roman"/>
          <w:b/>
          <w:bCs/>
          <w:i/>
          <w:iCs/>
          <w:sz w:val="18"/>
          <w:szCs w:val="18"/>
          <w:u w:val="single"/>
        </w:rPr>
        <w:t xml:space="preserve"> </w:t>
      </w:r>
      <w:r w:rsidRPr="00325F4F">
        <w:rPr>
          <w:rFonts w:cs="Times New Roman"/>
          <w:b/>
          <w:bCs/>
          <w:i/>
          <w:iCs/>
          <w:sz w:val="18"/>
          <w:szCs w:val="18"/>
          <w:u w:val="single"/>
        </w:rPr>
        <w:t>of the Arabic section, pages</w:t>
      </w:r>
      <w:r w:rsidRPr="00325F4F">
        <w:rPr>
          <w:rFonts w:cs="Times New Roman"/>
          <w:b/>
          <w:bCs/>
          <w:i/>
          <w:iCs/>
          <w:sz w:val="18"/>
          <w:szCs w:val="18"/>
          <w:u w:val="single"/>
          <w:rtl/>
        </w:rPr>
        <w:t xml:space="preserve"> </w:t>
      </w:r>
      <w:r w:rsidR="00821E3B" w:rsidRPr="00325F4F">
        <w:rPr>
          <w:rFonts w:cs="Times New Roman"/>
          <w:b/>
          <w:bCs/>
          <w:i/>
          <w:iCs/>
          <w:sz w:val="18"/>
          <w:szCs w:val="18"/>
          <w:u w:val="single"/>
        </w:rPr>
        <w:t xml:space="preserve">      </w:t>
      </w:r>
      <w:r w:rsidR="00426EE0">
        <w:rPr>
          <w:rFonts w:cs="Times New Roman"/>
          <w:b/>
          <w:bCs/>
          <w:i/>
          <w:iCs/>
          <w:sz w:val="18"/>
          <w:szCs w:val="18"/>
          <w:u w:val="single"/>
        </w:rPr>
        <w:t>185</w:t>
      </w:r>
      <w:r w:rsidRPr="00325F4F">
        <w:rPr>
          <w:rFonts w:cs="Times New Roman"/>
          <w:b/>
          <w:bCs/>
          <w:i/>
          <w:iCs/>
          <w:sz w:val="18"/>
          <w:szCs w:val="18"/>
          <w:u w:val="single"/>
        </w:rPr>
        <w:t>-</w:t>
      </w:r>
      <w:r w:rsidR="00426EE0">
        <w:rPr>
          <w:rFonts w:cs="Times New Roman"/>
          <w:b/>
          <w:bCs/>
          <w:i/>
          <w:iCs/>
          <w:sz w:val="18"/>
          <w:szCs w:val="18"/>
          <w:u w:val="single"/>
        </w:rPr>
        <w:t>192</w:t>
      </w:r>
      <w:r w:rsidRPr="00325F4F">
        <w:rPr>
          <w:rFonts w:cs="Times New Roman"/>
          <w:b/>
          <w:bCs/>
          <w:i/>
          <w:iCs/>
          <w:sz w:val="18"/>
          <w:szCs w:val="18"/>
          <w:u w:val="single"/>
        </w:rPr>
        <w:t>.</w:t>
      </w:r>
    </w:p>
    <w:p w:rsidR="006064E5" w:rsidRPr="00325F4F" w:rsidRDefault="006064E5" w:rsidP="006064E5">
      <w:pPr>
        <w:pStyle w:val="BodyText"/>
        <w:overflowPunct/>
        <w:autoSpaceDE/>
        <w:adjustRightInd/>
        <w:ind w:left="142"/>
        <w:jc w:val="lowKashida"/>
        <w:textAlignment w:val="auto"/>
        <w:rPr>
          <w:sz w:val="10"/>
          <w:szCs w:val="10"/>
        </w:rPr>
      </w:pPr>
    </w:p>
    <w:p w:rsidR="006064E5" w:rsidRPr="00325F4F" w:rsidRDefault="006064E5" w:rsidP="006064E5">
      <w:pPr>
        <w:pStyle w:val="BodyText"/>
        <w:overflowPunct/>
        <w:autoSpaceDE/>
        <w:adjustRightInd/>
        <w:ind w:left="142"/>
        <w:jc w:val="lowKashida"/>
        <w:textAlignment w:val="auto"/>
        <w:rPr>
          <w:sz w:val="10"/>
          <w:szCs w:val="10"/>
        </w:rPr>
      </w:pPr>
    </w:p>
    <w:p w:rsidR="00AF1104" w:rsidRPr="00325F4F" w:rsidRDefault="00AF1104" w:rsidP="00AF1104">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 xml:space="preserve">Industry                              </w:t>
      </w:r>
    </w:p>
    <w:p w:rsidR="008F58BA" w:rsidRPr="005B102E" w:rsidRDefault="008F58BA" w:rsidP="008F58BA">
      <w:pPr>
        <w:pStyle w:val="BodyText2"/>
        <w:numPr>
          <w:ilvl w:val="0"/>
          <w:numId w:val="19"/>
        </w:numPr>
        <w:overflowPunct/>
        <w:autoSpaceDE/>
        <w:autoSpaceDN/>
        <w:adjustRightInd/>
        <w:spacing w:after="120"/>
        <w:textAlignment w:val="auto"/>
        <w:rPr>
          <w:noProof/>
        </w:rPr>
      </w:pPr>
      <w:r w:rsidRPr="005B102E">
        <w:rPr>
          <w:noProof/>
        </w:rPr>
        <w:t>There were 19,118 enterprises engaged in this sector in Palestine in 2018.</w:t>
      </w:r>
    </w:p>
    <w:p w:rsidR="008F58BA" w:rsidRPr="005B102E" w:rsidRDefault="008F58BA" w:rsidP="008F58BA">
      <w:pPr>
        <w:pStyle w:val="BodyText"/>
        <w:overflowPunct/>
        <w:autoSpaceDE/>
        <w:adjustRightInd/>
        <w:ind w:left="142"/>
        <w:jc w:val="lowKashida"/>
        <w:textAlignment w:val="auto"/>
        <w:rPr>
          <w:sz w:val="10"/>
          <w:szCs w:val="10"/>
        </w:rPr>
      </w:pPr>
    </w:p>
    <w:p w:rsidR="008F58BA" w:rsidRPr="005B102E" w:rsidRDefault="008F58BA" w:rsidP="008F58BA">
      <w:pPr>
        <w:pStyle w:val="BodyText"/>
        <w:overflowPunct/>
        <w:autoSpaceDE/>
        <w:adjustRightInd/>
        <w:ind w:left="142"/>
        <w:jc w:val="lowKashida"/>
        <w:textAlignment w:val="auto"/>
        <w:rPr>
          <w:sz w:val="6"/>
          <w:szCs w:val="6"/>
        </w:rPr>
      </w:pPr>
      <w:r w:rsidRPr="005B102E">
        <w:rPr>
          <w:sz w:val="10"/>
          <w:szCs w:val="10"/>
        </w:rPr>
        <w:t xml:space="preserve"> </w:t>
      </w:r>
    </w:p>
    <w:p w:rsidR="008F58BA" w:rsidRPr="005B102E" w:rsidRDefault="008F58BA" w:rsidP="008F58BA">
      <w:pPr>
        <w:jc w:val="center"/>
        <w:rPr>
          <w:b/>
          <w:bCs/>
          <w:sz w:val="18"/>
          <w:szCs w:val="18"/>
        </w:rPr>
      </w:pPr>
      <w:r w:rsidRPr="008F58BA">
        <w:rPr>
          <w:b/>
          <w:bCs/>
          <w:sz w:val="18"/>
          <w:szCs w:val="18"/>
        </w:rPr>
        <w:t>Main Economic Indicators for Industrial Activities, 2016-2018</w:t>
      </w:r>
    </w:p>
    <w:p w:rsidR="008F58BA" w:rsidRPr="005B102E" w:rsidRDefault="008F58BA" w:rsidP="008F58BA">
      <w:pPr>
        <w:jc w:val="center"/>
        <w:rPr>
          <w:b/>
          <w:bCs/>
          <w:sz w:val="10"/>
          <w:szCs w:val="10"/>
          <w:rtl/>
        </w:rPr>
      </w:pPr>
    </w:p>
    <w:p w:rsidR="008F58BA" w:rsidRPr="005B102E" w:rsidRDefault="008F58BA" w:rsidP="008F58BA">
      <w:pPr>
        <w:pStyle w:val="ListParagraph"/>
        <w:bidi w:val="0"/>
        <w:ind w:left="0"/>
        <w:jc w:val="center"/>
        <w:rPr>
          <w:rFonts w:ascii="Arial" w:hAnsi="Arial"/>
          <w:b/>
          <w:bCs/>
          <w:sz w:val="16"/>
          <w:szCs w:val="16"/>
          <w:rtl/>
        </w:rPr>
      </w:pPr>
      <w:r w:rsidRPr="005B102E">
        <w:rPr>
          <w:bdr w:val="single" w:sz="4" w:space="0" w:color="auto" w:frame="1"/>
        </w:rPr>
        <w:drawing>
          <wp:inline distT="0" distB="0" distL="0" distR="0">
            <wp:extent cx="4013200" cy="1517650"/>
            <wp:effectExtent l="0" t="0" r="0" b="0"/>
            <wp:docPr id="7"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F58BA" w:rsidRPr="005B102E" w:rsidRDefault="008F58BA" w:rsidP="008F58BA">
      <w:pPr>
        <w:pStyle w:val="BodyText"/>
        <w:overflowPunct/>
        <w:autoSpaceDE/>
        <w:adjustRightInd/>
        <w:ind w:left="142"/>
        <w:jc w:val="lowKashida"/>
        <w:textAlignment w:val="auto"/>
        <w:rPr>
          <w:sz w:val="10"/>
          <w:szCs w:val="10"/>
        </w:rPr>
      </w:pPr>
    </w:p>
    <w:p w:rsidR="008F58BA" w:rsidRPr="005B102E" w:rsidRDefault="008F58BA" w:rsidP="008F58BA">
      <w:pPr>
        <w:pStyle w:val="BodyText2"/>
        <w:numPr>
          <w:ilvl w:val="0"/>
          <w:numId w:val="19"/>
        </w:numPr>
        <w:overflowPunct/>
        <w:autoSpaceDE/>
        <w:autoSpaceDN/>
        <w:adjustRightInd/>
        <w:spacing w:after="120"/>
        <w:textAlignment w:val="auto"/>
        <w:rPr>
          <w:noProof/>
        </w:rPr>
      </w:pPr>
      <w:r w:rsidRPr="005B102E">
        <w:rPr>
          <w:noProof/>
        </w:rPr>
        <w:t>There were 95,787</w:t>
      </w:r>
      <w:r w:rsidRPr="005B102E">
        <w:rPr>
          <w:noProof/>
          <w:rtl/>
        </w:rPr>
        <w:t xml:space="preserve"> </w:t>
      </w:r>
      <w:r w:rsidRPr="005B102E">
        <w:rPr>
          <w:noProof/>
        </w:rPr>
        <w:t>employed persons in this sector in 2018.</w:t>
      </w:r>
    </w:p>
    <w:p w:rsidR="008F58BA" w:rsidRPr="005B102E" w:rsidRDefault="008F58BA" w:rsidP="008F58BA">
      <w:pPr>
        <w:pStyle w:val="BodyText2"/>
        <w:numPr>
          <w:ilvl w:val="0"/>
          <w:numId w:val="19"/>
        </w:numPr>
        <w:overflowPunct/>
        <w:autoSpaceDE/>
        <w:autoSpaceDN/>
        <w:adjustRightInd/>
        <w:spacing w:after="120"/>
        <w:textAlignment w:val="auto"/>
        <w:rPr>
          <w:noProof/>
        </w:rPr>
      </w:pPr>
      <w:r w:rsidRPr="005B102E">
        <w:rPr>
          <w:noProof/>
        </w:rPr>
        <w:lastRenderedPageBreak/>
        <w:t>The value of the enterprises output in industrial activities was USD 4,784.7</w:t>
      </w:r>
      <w:r w:rsidRPr="005B102E">
        <w:rPr>
          <w:noProof/>
          <w:rtl/>
        </w:rPr>
        <w:t xml:space="preserve"> </w:t>
      </w:r>
      <w:r w:rsidRPr="005B102E">
        <w:rPr>
          <w:noProof/>
        </w:rPr>
        <w:t>million, intermediate consumption totaled USD 2,805.9</w:t>
      </w:r>
      <w:r w:rsidRPr="005B102E">
        <w:rPr>
          <w:noProof/>
          <w:rtl/>
        </w:rPr>
        <w:t xml:space="preserve"> </w:t>
      </w:r>
      <w:r w:rsidRPr="005B102E">
        <w:rPr>
          <w:noProof/>
        </w:rPr>
        <w:t>million, and the value added was USD 1,978.8 million in 2018.</w:t>
      </w:r>
    </w:p>
    <w:p w:rsidR="006064E5" w:rsidRPr="00325F4F" w:rsidRDefault="006064E5"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industry, see the tables in chapter 1.</w:t>
      </w:r>
      <w:r w:rsidR="006304DF" w:rsidRPr="00325F4F">
        <w:rPr>
          <w:rFonts w:cs="Times New Roman"/>
          <w:b/>
          <w:bCs/>
          <w:i/>
          <w:iCs/>
          <w:sz w:val="18"/>
          <w:szCs w:val="18"/>
          <w:u w:val="single"/>
        </w:rPr>
        <w:t>1</w:t>
      </w:r>
      <w:r w:rsidR="00EE63BF" w:rsidRPr="00325F4F">
        <w:rPr>
          <w:rFonts w:cs="Times New Roman"/>
          <w:b/>
          <w:bCs/>
          <w:i/>
          <w:iCs/>
          <w:sz w:val="18"/>
          <w:szCs w:val="18"/>
          <w:u w:val="single"/>
        </w:rPr>
        <w:t>8</w:t>
      </w:r>
      <w:r w:rsidRPr="00325F4F">
        <w:rPr>
          <w:rFonts w:cs="Times New Roman"/>
          <w:b/>
          <w:bCs/>
          <w:i/>
          <w:iCs/>
          <w:sz w:val="18"/>
          <w:szCs w:val="18"/>
          <w:u w:val="single"/>
        </w:rPr>
        <w:t xml:space="preserve"> of the Arabic section, pages </w:t>
      </w:r>
      <w:r w:rsidR="00426EE0">
        <w:rPr>
          <w:rFonts w:cs="Times New Roman"/>
          <w:b/>
          <w:bCs/>
          <w:i/>
          <w:iCs/>
          <w:sz w:val="18"/>
          <w:szCs w:val="18"/>
          <w:u w:val="single"/>
        </w:rPr>
        <w:t>193</w:t>
      </w:r>
      <w:r w:rsidRPr="00325F4F">
        <w:rPr>
          <w:rFonts w:cs="Times New Roman"/>
          <w:b/>
          <w:bCs/>
          <w:i/>
          <w:iCs/>
          <w:sz w:val="18"/>
          <w:szCs w:val="18"/>
          <w:u w:val="single"/>
        </w:rPr>
        <w:t>-</w:t>
      </w:r>
      <w:r w:rsidR="00426EE0">
        <w:rPr>
          <w:rFonts w:cs="Times New Roman"/>
          <w:b/>
          <w:bCs/>
          <w:i/>
          <w:iCs/>
          <w:sz w:val="18"/>
          <w:szCs w:val="18"/>
          <w:u w:val="single"/>
        </w:rPr>
        <w:t>196</w:t>
      </w:r>
      <w:r w:rsidRPr="00325F4F">
        <w:rPr>
          <w:rFonts w:cs="Times New Roman"/>
          <w:b/>
          <w:bCs/>
          <w:i/>
          <w:iCs/>
          <w:sz w:val="18"/>
          <w:szCs w:val="18"/>
          <w:u w:val="single"/>
        </w:rPr>
        <w:t>.</w:t>
      </w:r>
    </w:p>
    <w:p w:rsidR="00980C3D" w:rsidRPr="00325F4F" w:rsidRDefault="00980C3D" w:rsidP="00980C3D">
      <w:pPr>
        <w:pStyle w:val="Title"/>
        <w:tabs>
          <w:tab w:val="right" w:pos="308"/>
        </w:tabs>
        <w:bidi w:val="0"/>
        <w:jc w:val="left"/>
        <w:rPr>
          <w:rFonts w:cs="Traditional Arabic"/>
          <w:sz w:val="20"/>
          <w:szCs w:val="20"/>
        </w:rPr>
      </w:pPr>
    </w:p>
    <w:p w:rsidR="001804B8" w:rsidRPr="00325F4F" w:rsidRDefault="001804B8" w:rsidP="00151705">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Transport and Commuincation</w:t>
      </w:r>
    </w:p>
    <w:p w:rsidR="008A7579" w:rsidRPr="00325F4F" w:rsidRDefault="008A7579" w:rsidP="008A7579">
      <w:pPr>
        <w:pStyle w:val="Title"/>
        <w:bidi w:val="0"/>
        <w:ind w:left="-210" w:firstLine="210"/>
        <w:jc w:val="left"/>
        <w:rPr>
          <w:rFonts w:cs="Traditional Arabic"/>
          <w:sz w:val="20"/>
          <w:szCs w:val="20"/>
        </w:rPr>
      </w:pPr>
      <w:r w:rsidRPr="00325F4F">
        <w:rPr>
          <w:rFonts w:cs="Traditional Arabic"/>
          <w:sz w:val="20"/>
          <w:szCs w:val="20"/>
        </w:rPr>
        <w:t xml:space="preserve">19.1 Transport and Storage                               </w:t>
      </w:r>
    </w:p>
    <w:p w:rsidR="008A7579" w:rsidRPr="00325F4F" w:rsidRDefault="008A7579" w:rsidP="000D6182">
      <w:pPr>
        <w:pStyle w:val="BodyText2"/>
        <w:numPr>
          <w:ilvl w:val="0"/>
          <w:numId w:val="2"/>
        </w:numPr>
        <w:overflowPunct/>
        <w:autoSpaceDE/>
        <w:autoSpaceDN/>
        <w:adjustRightInd/>
        <w:spacing w:after="120"/>
        <w:ind w:left="266" w:hanging="266"/>
        <w:textAlignment w:val="auto"/>
        <w:rPr>
          <w:noProof/>
        </w:rPr>
      </w:pPr>
      <w:r w:rsidRPr="00325F4F">
        <w:rPr>
          <w:noProof/>
        </w:rPr>
        <w:t xml:space="preserve">There were 1,103 enterprises engaged in this </w:t>
      </w:r>
      <w:r w:rsidR="00A15515">
        <w:rPr>
          <w:noProof/>
        </w:rPr>
        <w:t>activity</w:t>
      </w:r>
      <w:r w:rsidRPr="00325F4F">
        <w:rPr>
          <w:noProof/>
        </w:rPr>
        <w:t xml:space="preserve"> in Palestine in 2018.</w:t>
      </w:r>
    </w:p>
    <w:p w:rsidR="008A7579" w:rsidRPr="00325F4F" w:rsidRDefault="008A7579" w:rsidP="000D6182">
      <w:pPr>
        <w:pStyle w:val="BodyText2"/>
        <w:numPr>
          <w:ilvl w:val="0"/>
          <w:numId w:val="2"/>
        </w:numPr>
        <w:overflowPunct/>
        <w:autoSpaceDE/>
        <w:autoSpaceDN/>
        <w:adjustRightInd/>
        <w:spacing w:after="120"/>
        <w:ind w:left="266" w:hanging="266"/>
        <w:textAlignment w:val="auto"/>
        <w:rPr>
          <w:noProof/>
        </w:rPr>
      </w:pPr>
      <w:r w:rsidRPr="00325F4F">
        <w:rPr>
          <w:noProof/>
        </w:rPr>
        <w:t>There were 7,425</w:t>
      </w:r>
      <w:r w:rsidRPr="00325F4F">
        <w:rPr>
          <w:noProof/>
          <w:rtl/>
        </w:rPr>
        <w:t xml:space="preserve"> </w:t>
      </w:r>
      <w:r w:rsidRPr="00325F4F">
        <w:rPr>
          <w:noProof/>
        </w:rPr>
        <w:t xml:space="preserve">employed persons in this </w:t>
      </w:r>
      <w:r w:rsidR="00A15515">
        <w:rPr>
          <w:noProof/>
        </w:rPr>
        <w:t>activity</w:t>
      </w:r>
      <w:r w:rsidRPr="00325F4F">
        <w:rPr>
          <w:noProof/>
        </w:rPr>
        <w:t xml:space="preserve"> in 2018.</w:t>
      </w:r>
    </w:p>
    <w:p w:rsidR="008A7579" w:rsidRPr="00325F4F" w:rsidRDefault="008A7579" w:rsidP="00426EE0">
      <w:pPr>
        <w:pStyle w:val="BodyText2"/>
        <w:numPr>
          <w:ilvl w:val="0"/>
          <w:numId w:val="2"/>
        </w:numPr>
        <w:overflowPunct/>
        <w:autoSpaceDE/>
        <w:autoSpaceDN/>
        <w:adjustRightInd/>
        <w:spacing w:after="120"/>
        <w:ind w:left="266" w:hanging="266"/>
        <w:textAlignment w:val="auto"/>
        <w:rPr>
          <w:noProof/>
        </w:rPr>
      </w:pPr>
      <w:r w:rsidRPr="00325F4F">
        <w:rPr>
          <w:noProof/>
        </w:rPr>
        <w:t>The value of the enterprises output in transport and storage activities was USD 234.2 million; intermediate consumption was USD 88.3 million; and the value added was USD 145.</w:t>
      </w:r>
      <w:r w:rsidR="00426EE0">
        <w:rPr>
          <w:noProof/>
        </w:rPr>
        <w:t>9</w:t>
      </w:r>
      <w:r w:rsidRPr="00325F4F">
        <w:rPr>
          <w:noProof/>
        </w:rPr>
        <w:t xml:space="preserve"> million in 2018.</w:t>
      </w:r>
    </w:p>
    <w:p w:rsidR="008A7579" w:rsidRPr="00325F4F" w:rsidRDefault="008A7579" w:rsidP="008A7579">
      <w:pPr>
        <w:pStyle w:val="BodyText"/>
        <w:overflowPunct/>
        <w:autoSpaceDE/>
        <w:adjustRightInd/>
        <w:ind w:left="142"/>
        <w:jc w:val="lowKashida"/>
        <w:textAlignment w:val="auto"/>
        <w:rPr>
          <w:sz w:val="10"/>
          <w:szCs w:val="10"/>
          <w:rtl/>
        </w:rPr>
      </w:pPr>
    </w:p>
    <w:p w:rsidR="008A7579" w:rsidRPr="00325F4F" w:rsidRDefault="008A7579" w:rsidP="008A7579">
      <w:pPr>
        <w:pStyle w:val="Title"/>
        <w:bidi w:val="0"/>
        <w:ind w:left="-210" w:firstLine="210"/>
        <w:jc w:val="left"/>
        <w:rPr>
          <w:rFonts w:cs="Traditional Arabic"/>
          <w:sz w:val="20"/>
          <w:szCs w:val="20"/>
        </w:rPr>
      </w:pPr>
      <w:r w:rsidRPr="00325F4F">
        <w:rPr>
          <w:rFonts w:cs="Traditional Arabic"/>
          <w:sz w:val="20"/>
          <w:szCs w:val="20"/>
        </w:rPr>
        <w:t>19.2 Information and Communications</w:t>
      </w:r>
    </w:p>
    <w:p w:rsidR="008A7579" w:rsidRPr="00325F4F" w:rsidRDefault="008A7579" w:rsidP="000D6182">
      <w:pPr>
        <w:pStyle w:val="BodyText2"/>
        <w:numPr>
          <w:ilvl w:val="0"/>
          <w:numId w:val="2"/>
        </w:numPr>
        <w:overflowPunct/>
        <w:autoSpaceDE/>
        <w:autoSpaceDN/>
        <w:adjustRightInd/>
        <w:spacing w:after="120"/>
        <w:ind w:left="266" w:hanging="266"/>
        <w:textAlignment w:val="auto"/>
        <w:rPr>
          <w:noProof/>
        </w:rPr>
      </w:pPr>
      <w:r w:rsidRPr="00325F4F">
        <w:rPr>
          <w:noProof/>
        </w:rPr>
        <w:t xml:space="preserve">There were 677 enterprises engaged in this </w:t>
      </w:r>
      <w:r w:rsidR="00A15515">
        <w:rPr>
          <w:noProof/>
        </w:rPr>
        <w:t>activity</w:t>
      </w:r>
      <w:r w:rsidRPr="00325F4F">
        <w:rPr>
          <w:noProof/>
        </w:rPr>
        <w:t xml:space="preserve"> in Palestine in 2018.</w:t>
      </w:r>
    </w:p>
    <w:p w:rsidR="008A7579" w:rsidRPr="00325F4F" w:rsidRDefault="008A7579" w:rsidP="000D6182">
      <w:pPr>
        <w:pStyle w:val="BodyText2"/>
        <w:numPr>
          <w:ilvl w:val="0"/>
          <w:numId w:val="2"/>
        </w:numPr>
        <w:overflowPunct/>
        <w:autoSpaceDE/>
        <w:autoSpaceDN/>
        <w:adjustRightInd/>
        <w:spacing w:after="120"/>
        <w:ind w:left="266" w:hanging="266"/>
        <w:textAlignment w:val="auto"/>
        <w:rPr>
          <w:noProof/>
        </w:rPr>
      </w:pPr>
      <w:r w:rsidRPr="00325F4F">
        <w:rPr>
          <w:noProof/>
        </w:rPr>
        <w:t xml:space="preserve"> There were 8,815 employed persons in this </w:t>
      </w:r>
      <w:r w:rsidR="00A15515">
        <w:rPr>
          <w:noProof/>
        </w:rPr>
        <w:t>activity</w:t>
      </w:r>
      <w:r w:rsidRPr="00325F4F">
        <w:rPr>
          <w:noProof/>
        </w:rPr>
        <w:t xml:space="preserve"> in 2018</w:t>
      </w:r>
      <w:r w:rsidRPr="00325F4F">
        <w:rPr>
          <w:noProof/>
          <w:rtl/>
        </w:rPr>
        <w:t>.</w:t>
      </w:r>
    </w:p>
    <w:p w:rsidR="008A7579" w:rsidRPr="00325F4F" w:rsidRDefault="008A7579" w:rsidP="008A7579">
      <w:pPr>
        <w:pStyle w:val="BodyText2"/>
        <w:numPr>
          <w:ilvl w:val="0"/>
          <w:numId w:val="2"/>
        </w:numPr>
        <w:overflowPunct/>
        <w:autoSpaceDE/>
        <w:autoSpaceDN/>
        <w:adjustRightInd/>
        <w:spacing w:after="120"/>
        <w:ind w:left="266" w:hanging="266"/>
        <w:textAlignment w:val="auto"/>
        <w:rPr>
          <w:noProof/>
        </w:rPr>
      </w:pPr>
      <w:r w:rsidRPr="00325F4F">
        <w:rPr>
          <w:noProof/>
        </w:rPr>
        <w:t>The value of the enterprises output in information and communication activities was USD 672.7 million; intermediate consumption was USD 134.2</w:t>
      </w:r>
      <w:r w:rsidRPr="00325F4F">
        <w:rPr>
          <w:noProof/>
          <w:rtl/>
        </w:rPr>
        <w:t xml:space="preserve"> </w:t>
      </w:r>
      <w:r w:rsidRPr="00325F4F">
        <w:rPr>
          <w:noProof/>
        </w:rPr>
        <w:t xml:space="preserve"> million; and the value added was USD 538.6 million in 2018.</w:t>
      </w:r>
    </w:p>
    <w:p w:rsidR="00F126B1" w:rsidRPr="00325F4F" w:rsidRDefault="00F126B1"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w:t>
      </w:r>
      <w:r w:rsidR="00980C3D" w:rsidRPr="00325F4F">
        <w:rPr>
          <w:rFonts w:cs="Times New Roman"/>
          <w:b/>
          <w:bCs/>
          <w:i/>
          <w:iCs/>
          <w:sz w:val="18"/>
          <w:szCs w:val="18"/>
          <w:u w:val="single"/>
        </w:rPr>
        <w:t>transport</w:t>
      </w:r>
      <w:r w:rsidR="00D57C6C" w:rsidRPr="00325F4F">
        <w:rPr>
          <w:rFonts w:cs="Times New Roman"/>
          <w:b/>
          <w:bCs/>
          <w:i/>
          <w:iCs/>
          <w:sz w:val="18"/>
          <w:szCs w:val="18"/>
          <w:u w:val="single"/>
        </w:rPr>
        <w:t xml:space="preserve"> and Communications</w:t>
      </w:r>
      <w:r w:rsidRPr="00325F4F">
        <w:rPr>
          <w:rFonts w:cs="Times New Roman"/>
          <w:b/>
          <w:bCs/>
          <w:i/>
          <w:iCs/>
          <w:sz w:val="18"/>
          <w:szCs w:val="18"/>
          <w:u w:val="single"/>
        </w:rPr>
        <w:t>, see the tables in chapter 1.</w:t>
      </w:r>
      <w:r w:rsidR="00DE12F8" w:rsidRPr="00325F4F">
        <w:rPr>
          <w:rFonts w:cs="Times New Roman"/>
          <w:b/>
          <w:bCs/>
          <w:i/>
          <w:iCs/>
          <w:sz w:val="18"/>
          <w:szCs w:val="18"/>
          <w:u w:val="single"/>
        </w:rPr>
        <w:t>1</w:t>
      </w:r>
      <w:r w:rsidR="00EE63BF" w:rsidRPr="00325F4F">
        <w:rPr>
          <w:rFonts w:cs="Times New Roman"/>
          <w:b/>
          <w:bCs/>
          <w:i/>
          <w:iCs/>
          <w:sz w:val="18"/>
          <w:szCs w:val="18"/>
          <w:u w:val="single"/>
        </w:rPr>
        <w:t>9</w:t>
      </w:r>
      <w:r w:rsidRPr="00325F4F">
        <w:rPr>
          <w:rFonts w:cs="Times New Roman"/>
          <w:b/>
          <w:bCs/>
          <w:i/>
          <w:iCs/>
          <w:sz w:val="18"/>
          <w:szCs w:val="18"/>
          <w:u w:val="single"/>
        </w:rPr>
        <w:t xml:space="preserve"> of the Arabic section, pages</w:t>
      </w:r>
      <w:r w:rsidRPr="00325F4F">
        <w:rPr>
          <w:rFonts w:cs="Times New Roman"/>
          <w:b/>
          <w:bCs/>
          <w:i/>
          <w:iCs/>
          <w:sz w:val="18"/>
          <w:szCs w:val="18"/>
          <w:u w:val="single"/>
          <w:rtl/>
        </w:rPr>
        <w:t xml:space="preserve"> </w:t>
      </w:r>
      <w:r w:rsidR="00426EE0">
        <w:rPr>
          <w:rFonts w:cs="Times New Roman"/>
          <w:b/>
          <w:bCs/>
          <w:i/>
          <w:iCs/>
          <w:sz w:val="18"/>
          <w:szCs w:val="18"/>
          <w:u w:val="single"/>
        </w:rPr>
        <w:t>197</w:t>
      </w:r>
      <w:r w:rsidRPr="00325F4F">
        <w:rPr>
          <w:rFonts w:cs="Times New Roman"/>
          <w:b/>
          <w:bCs/>
          <w:i/>
          <w:iCs/>
          <w:sz w:val="18"/>
          <w:szCs w:val="18"/>
          <w:u w:val="single"/>
        </w:rPr>
        <w:t>-</w:t>
      </w:r>
      <w:r w:rsidR="00426EE0">
        <w:rPr>
          <w:rFonts w:cs="Times New Roman"/>
          <w:b/>
          <w:bCs/>
          <w:i/>
          <w:iCs/>
          <w:sz w:val="18"/>
          <w:szCs w:val="18"/>
          <w:u w:val="single"/>
        </w:rPr>
        <w:t>206</w:t>
      </w:r>
      <w:r w:rsidRPr="00325F4F">
        <w:rPr>
          <w:rFonts w:cs="Times New Roman"/>
          <w:b/>
          <w:bCs/>
          <w:i/>
          <w:iCs/>
          <w:sz w:val="18"/>
          <w:szCs w:val="18"/>
          <w:u w:val="single"/>
        </w:rPr>
        <w:t>.</w:t>
      </w:r>
    </w:p>
    <w:p w:rsidR="00950832" w:rsidRPr="00325F4F" w:rsidRDefault="00950832" w:rsidP="00950832">
      <w:pPr>
        <w:pStyle w:val="ListParagraph"/>
        <w:bidi w:val="0"/>
        <w:ind w:left="0"/>
        <w:jc w:val="lowKashida"/>
        <w:rPr>
          <w:rFonts w:cs="Times New Roman"/>
          <w:i/>
          <w:iCs/>
          <w:sz w:val="20"/>
          <w:u w:val="single"/>
        </w:rPr>
      </w:pPr>
    </w:p>
    <w:p w:rsidR="00377785" w:rsidRPr="00325F4F" w:rsidRDefault="00377785" w:rsidP="00377785">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 xml:space="preserve">Tourism                           </w:t>
      </w:r>
    </w:p>
    <w:p w:rsidR="00377785" w:rsidRPr="00927B1C" w:rsidRDefault="00377785" w:rsidP="00750AEE">
      <w:pPr>
        <w:pStyle w:val="BodyText2"/>
        <w:numPr>
          <w:ilvl w:val="0"/>
          <w:numId w:val="2"/>
        </w:numPr>
        <w:overflowPunct/>
        <w:autoSpaceDE/>
        <w:autoSpaceDN/>
        <w:adjustRightInd/>
        <w:spacing w:after="120"/>
        <w:ind w:left="266" w:hanging="266"/>
        <w:textAlignment w:val="auto"/>
        <w:rPr>
          <w:noProof/>
        </w:rPr>
      </w:pPr>
      <w:r w:rsidRPr="00927B1C">
        <w:rPr>
          <w:noProof/>
        </w:rPr>
        <w:t xml:space="preserve">There were 130 </w:t>
      </w:r>
      <w:r w:rsidR="003B7051" w:rsidRPr="00927B1C">
        <w:rPr>
          <w:noProof/>
        </w:rPr>
        <w:t xml:space="preserve">operating </w:t>
      </w:r>
      <w:r w:rsidRPr="00927B1C">
        <w:rPr>
          <w:noProof/>
        </w:rPr>
        <w:t xml:space="preserve">hotels in 2018 with </w:t>
      </w:r>
      <w:r w:rsidRPr="00927B1C">
        <w:rPr>
          <w:rFonts w:hint="cs"/>
          <w:noProof/>
          <w:rtl/>
        </w:rPr>
        <w:t>7</w:t>
      </w:r>
      <w:r w:rsidRPr="00927B1C">
        <w:rPr>
          <w:noProof/>
        </w:rPr>
        <w:t>,</w:t>
      </w:r>
      <w:r w:rsidRPr="00927B1C">
        <w:rPr>
          <w:rFonts w:hint="cs"/>
          <w:noProof/>
          <w:rtl/>
        </w:rPr>
        <w:t>40</w:t>
      </w:r>
      <w:r w:rsidR="00750AEE">
        <w:rPr>
          <w:noProof/>
        </w:rPr>
        <w:t>4</w:t>
      </w:r>
      <w:r w:rsidRPr="00927B1C">
        <w:rPr>
          <w:noProof/>
        </w:rPr>
        <w:t xml:space="preserve"> rooms in total and 16,252 beds.</w:t>
      </w:r>
    </w:p>
    <w:p w:rsidR="00377785" w:rsidRPr="00325F4F" w:rsidRDefault="00377785" w:rsidP="00377785">
      <w:pPr>
        <w:pStyle w:val="BodyText2"/>
        <w:numPr>
          <w:ilvl w:val="0"/>
          <w:numId w:val="2"/>
        </w:numPr>
        <w:overflowPunct/>
        <w:autoSpaceDE/>
        <w:autoSpaceDN/>
        <w:adjustRightInd/>
        <w:spacing w:after="120"/>
        <w:ind w:left="266" w:hanging="266"/>
        <w:textAlignment w:val="auto"/>
        <w:rPr>
          <w:noProof/>
        </w:rPr>
      </w:pPr>
      <w:r w:rsidRPr="00325F4F">
        <w:rPr>
          <w:noProof/>
        </w:rPr>
        <w:t xml:space="preserve">During 2018, the total number of guests in operating hotels in the West Bank </w:t>
      </w:r>
      <w:r w:rsidRPr="00325F4F">
        <w:rPr>
          <w:noProof/>
          <w:sz w:val="18"/>
          <w:szCs w:val="18"/>
        </w:rPr>
        <w:t xml:space="preserve">was </w:t>
      </w:r>
      <w:r w:rsidRPr="00325F4F">
        <w:rPr>
          <w:rFonts w:hint="cs"/>
          <w:noProof/>
          <w:sz w:val="18"/>
          <w:szCs w:val="18"/>
          <w:rtl/>
        </w:rPr>
        <w:t>653</w:t>
      </w:r>
      <w:r w:rsidRPr="00325F4F">
        <w:rPr>
          <w:noProof/>
          <w:sz w:val="18"/>
          <w:szCs w:val="18"/>
        </w:rPr>
        <w:t>,744</w:t>
      </w:r>
      <w:r w:rsidR="003B7051">
        <w:rPr>
          <w:noProof/>
        </w:rPr>
        <w:t>.</w:t>
      </w:r>
    </w:p>
    <w:p w:rsidR="00377785" w:rsidRPr="00325F4F" w:rsidRDefault="00377785" w:rsidP="00377785">
      <w:pPr>
        <w:pStyle w:val="BodyText2"/>
        <w:numPr>
          <w:ilvl w:val="0"/>
          <w:numId w:val="2"/>
        </w:numPr>
        <w:overflowPunct/>
        <w:autoSpaceDE/>
        <w:autoSpaceDN/>
        <w:adjustRightInd/>
        <w:spacing w:after="120"/>
        <w:ind w:left="266" w:hanging="266"/>
        <w:textAlignment w:val="auto"/>
        <w:rPr>
          <w:noProof/>
        </w:rPr>
      </w:pPr>
      <w:r w:rsidRPr="00325F4F">
        <w:rPr>
          <w:noProof/>
        </w:rPr>
        <w:t xml:space="preserve">The total number of guest nights was </w:t>
      </w:r>
      <w:r w:rsidRPr="00325F4F">
        <w:rPr>
          <w:noProof/>
          <w:sz w:val="18"/>
          <w:szCs w:val="18"/>
        </w:rPr>
        <w:t>1,833,687 during</w:t>
      </w:r>
      <w:r w:rsidRPr="00325F4F">
        <w:rPr>
          <w:noProof/>
        </w:rPr>
        <w:t xml:space="preserve"> 2018. </w:t>
      </w:r>
    </w:p>
    <w:p w:rsidR="00377785" w:rsidRPr="00325F4F" w:rsidRDefault="00377785" w:rsidP="00377785">
      <w:pPr>
        <w:pStyle w:val="BodyText2"/>
        <w:numPr>
          <w:ilvl w:val="0"/>
          <w:numId w:val="2"/>
        </w:numPr>
        <w:overflowPunct/>
        <w:autoSpaceDE/>
        <w:autoSpaceDN/>
        <w:adjustRightInd/>
        <w:spacing w:after="120"/>
        <w:ind w:left="266" w:hanging="266"/>
        <w:textAlignment w:val="auto"/>
        <w:rPr>
          <w:noProof/>
        </w:rPr>
      </w:pPr>
      <w:r w:rsidRPr="00325F4F">
        <w:rPr>
          <w:noProof/>
        </w:rPr>
        <w:t xml:space="preserve">The average number of employed persons were </w:t>
      </w:r>
      <w:r w:rsidRPr="00927B1C">
        <w:rPr>
          <w:rFonts w:hint="cs"/>
          <w:noProof/>
          <w:rtl/>
        </w:rPr>
        <w:t>3</w:t>
      </w:r>
      <w:r w:rsidRPr="00927B1C">
        <w:rPr>
          <w:noProof/>
        </w:rPr>
        <w:t>,079 hotel</w:t>
      </w:r>
      <w:r w:rsidRPr="00325F4F">
        <w:rPr>
          <w:noProof/>
        </w:rPr>
        <w:t xml:space="preserve"> workers: 2,330 males and 749</w:t>
      </w:r>
      <w:r w:rsidRPr="00325F4F">
        <w:rPr>
          <w:noProof/>
          <w:rtl/>
        </w:rPr>
        <w:t xml:space="preserve"> </w:t>
      </w:r>
      <w:r w:rsidRPr="00325F4F">
        <w:rPr>
          <w:noProof/>
        </w:rPr>
        <w:t>females.</w:t>
      </w:r>
    </w:p>
    <w:p w:rsidR="00377785" w:rsidRPr="00325F4F" w:rsidRDefault="00377785" w:rsidP="00377785">
      <w:pPr>
        <w:pStyle w:val="BodyText2"/>
        <w:numPr>
          <w:ilvl w:val="0"/>
          <w:numId w:val="2"/>
        </w:numPr>
        <w:overflowPunct/>
        <w:autoSpaceDE/>
        <w:autoSpaceDN/>
        <w:adjustRightInd/>
        <w:spacing w:after="120"/>
        <w:ind w:left="266" w:hanging="266"/>
        <w:textAlignment w:val="auto"/>
        <w:rPr>
          <w:noProof/>
        </w:rPr>
      </w:pPr>
      <w:r w:rsidRPr="00325F4F">
        <w:rPr>
          <w:noProof/>
        </w:rPr>
        <w:t>Average Room occupancy was 22.0% in 2018.</w:t>
      </w:r>
    </w:p>
    <w:p w:rsidR="00377785" w:rsidRPr="00325F4F" w:rsidRDefault="00377785" w:rsidP="00377785">
      <w:pPr>
        <w:pStyle w:val="BodyText2"/>
        <w:numPr>
          <w:ilvl w:val="0"/>
          <w:numId w:val="2"/>
        </w:numPr>
        <w:overflowPunct/>
        <w:autoSpaceDE/>
        <w:autoSpaceDN/>
        <w:adjustRightInd/>
        <w:spacing w:after="120"/>
        <w:ind w:left="266" w:hanging="266"/>
        <w:textAlignment w:val="auto"/>
        <w:rPr>
          <w:noProof/>
        </w:rPr>
      </w:pPr>
      <w:r w:rsidRPr="00325F4F">
        <w:rPr>
          <w:noProof/>
        </w:rPr>
        <w:t>Average Bed occupancy was 30.9% in 2018.</w:t>
      </w:r>
    </w:p>
    <w:p w:rsidR="002C4BB1" w:rsidRPr="00325F4F" w:rsidRDefault="00A77E3C"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details on tourism, see the tables in chapter 1.</w:t>
      </w:r>
      <w:r w:rsidR="00EE63BF" w:rsidRPr="00325F4F">
        <w:rPr>
          <w:rFonts w:cs="Times New Roman"/>
          <w:b/>
          <w:bCs/>
          <w:i/>
          <w:iCs/>
          <w:sz w:val="18"/>
          <w:szCs w:val="18"/>
          <w:u w:val="single"/>
        </w:rPr>
        <w:t>20</w:t>
      </w:r>
      <w:r w:rsidRPr="00325F4F">
        <w:rPr>
          <w:rFonts w:cs="Times New Roman"/>
          <w:b/>
          <w:bCs/>
          <w:i/>
          <w:iCs/>
          <w:sz w:val="18"/>
          <w:szCs w:val="18"/>
          <w:u w:val="single"/>
        </w:rPr>
        <w:t xml:space="preserve"> of the Arabic section, pages </w:t>
      </w:r>
      <w:r w:rsidR="00426EE0">
        <w:rPr>
          <w:rFonts w:cs="Times New Roman"/>
          <w:b/>
          <w:bCs/>
          <w:i/>
          <w:iCs/>
          <w:sz w:val="18"/>
          <w:szCs w:val="18"/>
          <w:u w:val="single"/>
        </w:rPr>
        <w:t>207</w:t>
      </w:r>
      <w:r w:rsidRPr="00325F4F">
        <w:rPr>
          <w:rFonts w:cs="Times New Roman"/>
          <w:b/>
          <w:bCs/>
          <w:i/>
          <w:iCs/>
          <w:sz w:val="18"/>
          <w:szCs w:val="18"/>
          <w:u w:val="single"/>
        </w:rPr>
        <w:t>-</w:t>
      </w:r>
      <w:r w:rsidR="00426EE0">
        <w:rPr>
          <w:rFonts w:cs="Times New Roman"/>
          <w:b/>
          <w:bCs/>
          <w:i/>
          <w:iCs/>
          <w:sz w:val="18"/>
          <w:szCs w:val="18"/>
          <w:u w:val="single"/>
        </w:rPr>
        <w:t>214</w:t>
      </w:r>
      <w:r w:rsidR="002C4BB1" w:rsidRPr="00325F4F">
        <w:rPr>
          <w:rFonts w:cs="Times New Roman"/>
          <w:b/>
          <w:bCs/>
          <w:i/>
          <w:iCs/>
          <w:sz w:val="18"/>
          <w:szCs w:val="18"/>
          <w:u w:val="single"/>
        </w:rPr>
        <w:t>.</w:t>
      </w:r>
    </w:p>
    <w:p w:rsidR="001378A2" w:rsidRPr="00325F4F" w:rsidRDefault="001378A2" w:rsidP="001378A2">
      <w:pPr>
        <w:pStyle w:val="ListParagraph"/>
        <w:bidi w:val="0"/>
        <w:ind w:left="0"/>
        <w:jc w:val="lowKashida"/>
        <w:rPr>
          <w:rFonts w:cs="Times New Roman"/>
          <w:i/>
          <w:iCs/>
          <w:sz w:val="4"/>
          <w:szCs w:val="4"/>
          <w:u w:val="single"/>
        </w:rPr>
      </w:pPr>
    </w:p>
    <w:p w:rsidR="00A822B8" w:rsidRPr="00325F4F" w:rsidRDefault="00A822B8" w:rsidP="00A822B8">
      <w:pPr>
        <w:pStyle w:val="ListParagraph"/>
        <w:bidi w:val="0"/>
        <w:ind w:left="0"/>
        <w:jc w:val="lowKashida"/>
        <w:rPr>
          <w:rFonts w:cs="Times New Roman"/>
          <w:i/>
          <w:iCs/>
          <w:sz w:val="10"/>
          <w:szCs w:val="10"/>
          <w:u w:val="single"/>
        </w:rPr>
      </w:pPr>
    </w:p>
    <w:p w:rsidR="009A21AB" w:rsidRPr="00325F4F" w:rsidRDefault="009A21AB" w:rsidP="009A21AB">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Services</w:t>
      </w:r>
    </w:p>
    <w:p w:rsidR="009A21AB" w:rsidRPr="00325F4F" w:rsidRDefault="009A21AB" w:rsidP="000D6182">
      <w:pPr>
        <w:pStyle w:val="BodyText2"/>
        <w:numPr>
          <w:ilvl w:val="0"/>
          <w:numId w:val="2"/>
        </w:numPr>
        <w:overflowPunct/>
        <w:autoSpaceDE/>
        <w:autoSpaceDN/>
        <w:adjustRightInd/>
        <w:spacing w:after="120"/>
        <w:ind w:left="266" w:hanging="266"/>
        <w:textAlignment w:val="auto"/>
        <w:rPr>
          <w:noProof/>
        </w:rPr>
      </w:pPr>
      <w:r w:rsidRPr="00325F4F">
        <w:rPr>
          <w:noProof/>
        </w:rPr>
        <w:t>There were 40,484 enterprises engaged in the services</w:t>
      </w:r>
      <w:r w:rsidR="00313648" w:rsidRPr="00313648">
        <w:rPr>
          <w:noProof/>
        </w:rPr>
        <w:t xml:space="preserve"> </w:t>
      </w:r>
      <w:r w:rsidR="00313648">
        <w:rPr>
          <w:noProof/>
        </w:rPr>
        <w:t>activities</w:t>
      </w:r>
      <w:r w:rsidRPr="00325F4F">
        <w:rPr>
          <w:noProof/>
        </w:rPr>
        <w:t xml:space="preserve"> in Palestine in 2018.</w:t>
      </w:r>
    </w:p>
    <w:p w:rsidR="009A21AB" w:rsidRPr="00325F4F" w:rsidRDefault="009A21AB" w:rsidP="00313648">
      <w:pPr>
        <w:pStyle w:val="BodyText2"/>
        <w:numPr>
          <w:ilvl w:val="0"/>
          <w:numId w:val="2"/>
        </w:numPr>
        <w:overflowPunct/>
        <w:autoSpaceDE/>
        <w:autoSpaceDN/>
        <w:adjustRightInd/>
        <w:spacing w:after="120"/>
        <w:ind w:left="266" w:hanging="266"/>
        <w:textAlignment w:val="auto"/>
        <w:rPr>
          <w:noProof/>
        </w:rPr>
      </w:pPr>
      <w:r w:rsidRPr="00325F4F">
        <w:rPr>
          <w:noProof/>
        </w:rPr>
        <w:t xml:space="preserve">There were 151,660 employed persons in services </w:t>
      </w:r>
      <w:r w:rsidR="00A15515">
        <w:rPr>
          <w:noProof/>
        </w:rPr>
        <w:t>activit</w:t>
      </w:r>
      <w:r w:rsidR="00313648">
        <w:rPr>
          <w:noProof/>
        </w:rPr>
        <w:t>ies</w:t>
      </w:r>
      <w:r w:rsidRPr="00325F4F">
        <w:rPr>
          <w:noProof/>
        </w:rPr>
        <w:t>.</w:t>
      </w:r>
    </w:p>
    <w:p w:rsidR="00841227" w:rsidRDefault="009A21AB" w:rsidP="00927B1C">
      <w:pPr>
        <w:pStyle w:val="BodyText2"/>
        <w:numPr>
          <w:ilvl w:val="0"/>
          <w:numId w:val="2"/>
        </w:numPr>
        <w:overflowPunct/>
        <w:autoSpaceDE/>
        <w:autoSpaceDN/>
        <w:adjustRightInd/>
        <w:spacing w:after="120"/>
        <w:ind w:left="0" w:hanging="266"/>
        <w:textAlignment w:val="auto"/>
        <w:rPr>
          <w:b/>
          <w:bCs/>
          <w:i/>
          <w:iCs/>
          <w:sz w:val="18"/>
          <w:szCs w:val="18"/>
          <w:u w:val="single"/>
        </w:rPr>
      </w:pPr>
      <w:r w:rsidRPr="00325F4F">
        <w:rPr>
          <w:noProof/>
        </w:rPr>
        <w:t xml:space="preserve">The value of the enterprises output in the services </w:t>
      </w:r>
      <w:r w:rsidR="00A15515">
        <w:rPr>
          <w:noProof/>
        </w:rPr>
        <w:t>activit</w:t>
      </w:r>
      <w:r w:rsidR="00927B1C">
        <w:rPr>
          <w:noProof/>
        </w:rPr>
        <w:t>ies</w:t>
      </w:r>
      <w:r w:rsidRPr="00325F4F">
        <w:rPr>
          <w:noProof/>
        </w:rPr>
        <w:t xml:space="preserve"> was USD 2,474.2 million; intermediate consumption totaled USD 654.7 million; and the value added was USD 1,819.5 million.</w:t>
      </w:r>
    </w:p>
    <w:p w:rsidR="009A21AB" w:rsidRPr="00841227" w:rsidRDefault="009A21AB" w:rsidP="00426EE0">
      <w:pPr>
        <w:pStyle w:val="BodyText2"/>
        <w:numPr>
          <w:ilvl w:val="0"/>
          <w:numId w:val="2"/>
        </w:numPr>
        <w:overflowPunct/>
        <w:autoSpaceDE/>
        <w:autoSpaceDN/>
        <w:adjustRightInd/>
        <w:spacing w:after="120"/>
        <w:ind w:left="0" w:hanging="266"/>
        <w:textAlignment w:val="auto"/>
        <w:rPr>
          <w:b/>
          <w:bCs/>
          <w:i/>
          <w:iCs/>
          <w:sz w:val="18"/>
          <w:szCs w:val="18"/>
          <w:u w:val="single"/>
        </w:rPr>
      </w:pPr>
      <w:r w:rsidRPr="00841227">
        <w:rPr>
          <w:b/>
          <w:bCs/>
          <w:i/>
          <w:iCs/>
          <w:sz w:val="18"/>
          <w:szCs w:val="18"/>
          <w:u w:val="single"/>
        </w:rPr>
        <w:t xml:space="preserve">For more details on the services sector, see the tables in chapter 1.21 of the Arabic section, pages </w:t>
      </w:r>
      <w:r w:rsidR="00426EE0">
        <w:rPr>
          <w:b/>
          <w:bCs/>
          <w:i/>
          <w:iCs/>
          <w:sz w:val="18"/>
          <w:szCs w:val="18"/>
          <w:u w:val="single"/>
        </w:rPr>
        <w:t>215</w:t>
      </w:r>
      <w:r w:rsidRPr="00841227">
        <w:rPr>
          <w:b/>
          <w:bCs/>
          <w:i/>
          <w:iCs/>
          <w:sz w:val="18"/>
          <w:szCs w:val="18"/>
          <w:u w:val="single"/>
        </w:rPr>
        <w:t>-</w:t>
      </w:r>
      <w:r w:rsidR="00426EE0">
        <w:rPr>
          <w:b/>
          <w:bCs/>
          <w:i/>
          <w:iCs/>
          <w:sz w:val="18"/>
          <w:szCs w:val="18"/>
          <w:u w:val="single"/>
        </w:rPr>
        <w:t>218</w:t>
      </w:r>
      <w:r w:rsidRPr="00841227">
        <w:rPr>
          <w:b/>
          <w:bCs/>
          <w:i/>
          <w:iCs/>
          <w:sz w:val="18"/>
          <w:szCs w:val="18"/>
          <w:u w:val="single"/>
        </w:rPr>
        <w:t>.</w:t>
      </w:r>
    </w:p>
    <w:p w:rsidR="009A21AB" w:rsidRPr="00325F4F" w:rsidRDefault="009A21AB" w:rsidP="009A21AB">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lastRenderedPageBreak/>
        <w:t>Internal  Trade</w:t>
      </w:r>
    </w:p>
    <w:p w:rsidR="009A21AB" w:rsidRPr="00325F4F" w:rsidRDefault="009A21AB" w:rsidP="000D6182">
      <w:pPr>
        <w:pStyle w:val="BodyText2"/>
        <w:numPr>
          <w:ilvl w:val="0"/>
          <w:numId w:val="2"/>
        </w:numPr>
        <w:overflowPunct/>
        <w:autoSpaceDE/>
        <w:autoSpaceDN/>
        <w:adjustRightInd/>
        <w:spacing w:after="120"/>
        <w:ind w:left="266" w:hanging="266"/>
        <w:textAlignment w:val="auto"/>
        <w:rPr>
          <w:noProof/>
        </w:rPr>
      </w:pPr>
      <w:r w:rsidRPr="00325F4F">
        <w:rPr>
          <w:noProof/>
        </w:rPr>
        <w:t xml:space="preserve">In 2018, there were </w:t>
      </w:r>
      <w:r w:rsidRPr="00325F4F">
        <w:rPr>
          <w:rFonts w:hint="cs"/>
          <w:noProof/>
          <w:rtl/>
        </w:rPr>
        <w:t>7</w:t>
      </w:r>
      <w:r w:rsidRPr="00325F4F">
        <w:rPr>
          <w:noProof/>
        </w:rPr>
        <w:t xml:space="preserve">6,749 enterprises engaged in this </w:t>
      </w:r>
      <w:r w:rsidR="00A15515">
        <w:rPr>
          <w:noProof/>
        </w:rPr>
        <w:t>activity</w:t>
      </w:r>
      <w:r w:rsidR="00A15515" w:rsidRPr="00325F4F">
        <w:rPr>
          <w:noProof/>
        </w:rPr>
        <w:t xml:space="preserve"> </w:t>
      </w:r>
      <w:r w:rsidRPr="00325F4F">
        <w:rPr>
          <w:noProof/>
        </w:rPr>
        <w:t>in Palestine.</w:t>
      </w:r>
    </w:p>
    <w:p w:rsidR="009A21AB" w:rsidRPr="00325F4F" w:rsidRDefault="009A21AB" w:rsidP="000D6182">
      <w:pPr>
        <w:pStyle w:val="BodyText2"/>
        <w:numPr>
          <w:ilvl w:val="0"/>
          <w:numId w:val="2"/>
        </w:numPr>
        <w:overflowPunct/>
        <w:autoSpaceDE/>
        <w:autoSpaceDN/>
        <w:adjustRightInd/>
        <w:spacing w:after="120"/>
        <w:ind w:left="266" w:hanging="266"/>
        <w:textAlignment w:val="auto"/>
        <w:rPr>
          <w:noProof/>
        </w:rPr>
      </w:pPr>
      <w:r w:rsidRPr="00325F4F">
        <w:rPr>
          <w:noProof/>
        </w:rPr>
        <w:t xml:space="preserve">In 2018, there were </w:t>
      </w:r>
      <w:r w:rsidRPr="00325F4F">
        <w:rPr>
          <w:rFonts w:hint="cs"/>
          <w:noProof/>
          <w:rtl/>
        </w:rPr>
        <w:t>1</w:t>
      </w:r>
      <w:r w:rsidRPr="00325F4F">
        <w:rPr>
          <w:noProof/>
        </w:rPr>
        <w:t xml:space="preserve">91,182 employed persons in this </w:t>
      </w:r>
      <w:r w:rsidR="00A15515">
        <w:rPr>
          <w:noProof/>
        </w:rPr>
        <w:t>activity</w:t>
      </w:r>
      <w:r w:rsidRPr="00325F4F">
        <w:rPr>
          <w:noProof/>
        </w:rPr>
        <w:t>.</w:t>
      </w:r>
    </w:p>
    <w:p w:rsidR="009A21AB" w:rsidRPr="00325F4F" w:rsidRDefault="009A21AB" w:rsidP="009A21AB">
      <w:pPr>
        <w:pStyle w:val="BodyText2"/>
        <w:numPr>
          <w:ilvl w:val="0"/>
          <w:numId w:val="2"/>
        </w:numPr>
        <w:overflowPunct/>
        <w:autoSpaceDE/>
        <w:autoSpaceDN/>
        <w:adjustRightInd/>
        <w:spacing w:after="120"/>
        <w:ind w:left="266" w:hanging="266"/>
        <w:textAlignment w:val="auto"/>
        <w:rPr>
          <w:noProof/>
        </w:rPr>
      </w:pPr>
      <w:r w:rsidRPr="00325F4F">
        <w:rPr>
          <w:noProof/>
        </w:rPr>
        <w:t xml:space="preserve">The value of the enterprises output in internal trade activities was USD </w:t>
      </w:r>
      <w:r w:rsidRPr="00325F4F">
        <w:rPr>
          <w:rFonts w:hint="cs"/>
          <w:noProof/>
          <w:rtl/>
        </w:rPr>
        <w:t>4</w:t>
      </w:r>
      <w:r w:rsidRPr="00325F4F">
        <w:rPr>
          <w:noProof/>
        </w:rPr>
        <w:t>,474</w:t>
      </w:r>
      <w:r w:rsidR="008366B7">
        <w:rPr>
          <w:noProof/>
        </w:rPr>
        <w:t>.0</w:t>
      </w:r>
      <w:r w:rsidRPr="00325F4F">
        <w:rPr>
          <w:noProof/>
          <w:rtl/>
        </w:rPr>
        <w:t xml:space="preserve"> </w:t>
      </w:r>
      <w:r w:rsidRPr="00325F4F">
        <w:rPr>
          <w:noProof/>
        </w:rPr>
        <w:t xml:space="preserve"> million; intermediate consumption totaled USD 807.5 million; and the value added was USD 3,666.5 million.</w:t>
      </w:r>
    </w:p>
    <w:p w:rsidR="00EE63BF" w:rsidRPr="00325F4F" w:rsidRDefault="00EE63BF" w:rsidP="009C6CC8">
      <w:pPr>
        <w:pStyle w:val="ListParagraph"/>
        <w:bidi w:val="0"/>
        <w:ind w:left="0"/>
        <w:jc w:val="lowKashida"/>
        <w:rPr>
          <w:rFonts w:cs="Times New Roman"/>
          <w:i/>
          <w:iCs/>
          <w:sz w:val="20"/>
          <w:u w:val="single"/>
        </w:rPr>
      </w:pPr>
    </w:p>
    <w:p w:rsidR="008874A9" w:rsidRPr="00325F4F" w:rsidRDefault="008874A9"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w:t>
      </w:r>
      <w:r w:rsidR="00B21173" w:rsidRPr="00325F4F">
        <w:rPr>
          <w:rFonts w:cs="Times New Roman"/>
          <w:b/>
          <w:bCs/>
          <w:i/>
          <w:iCs/>
          <w:sz w:val="18"/>
          <w:szCs w:val="18"/>
          <w:u w:val="single"/>
        </w:rPr>
        <w:t>s on</w:t>
      </w:r>
      <w:r w:rsidRPr="00325F4F">
        <w:rPr>
          <w:rFonts w:cs="Times New Roman"/>
          <w:b/>
          <w:bCs/>
          <w:i/>
          <w:iCs/>
          <w:sz w:val="18"/>
          <w:szCs w:val="18"/>
          <w:u w:val="single"/>
        </w:rPr>
        <w:t xml:space="preserve"> </w:t>
      </w:r>
      <w:r w:rsidR="00F36E5D" w:rsidRPr="00325F4F">
        <w:rPr>
          <w:rFonts w:cs="Times New Roman"/>
          <w:b/>
          <w:bCs/>
          <w:i/>
          <w:iCs/>
          <w:sz w:val="18"/>
          <w:szCs w:val="18"/>
          <w:u w:val="single"/>
        </w:rPr>
        <w:t xml:space="preserve">Internal  </w:t>
      </w:r>
      <w:r w:rsidR="00B21173" w:rsidRPr="00325F4F">
        <w:rPr>
          <w:rFonts w:cs="Times New Roman"/>
          <w:b/>
          <w:bCs/>
          <w:i/>
          <w:iCs/>
          <w:sz w:val="18"/>
          <w:szCs w:val="18"/>
          <w:u w:val="single"/>
        </w:rPr>
        <w:t>trade,</w:t>
      </w:r>
      <w:r w:rsidRPr="00325F4F">
        <w:rPr>
          <w:rFonts w:cs="Times New Roman"/>
          <w:b/>
          <w:bCs/>
          <w:i/>
          <w:iCs/>
          <w:sz w:val="18"/>
          <w:szCs w:val="18"/>
          <w:u w:val="single"/>
        </w:rPr>
        <w:t xml:space="preserve"> </w:t>
      </w:r>
      <w:r w:rsidR="0037009A" w:rsidRPr="00325F4F">
        <w:rPr>
          <w:rFonts w:cs="Times New Roman"/>
          <w:b/>
          <w:bCs/>
          <w:i/>
          <w:iCs/>
          <w:sz w:val="18"/>
          <w:szCs w:val="18"/>
          <w:u w:val="single"/>
        </w:rPr>
        <w:t xml:space="preserve">see </w:t>
      </w:r>
      <w:r w:rsidR="00B21173" w:rsidRPr="00325F4F">
        <w:rPr>
          <w:rFonts w:cs="Times New Roman"/>
          <w:b/>
          <w:bCs/>
          <w:i/>
          <w:iCs/>
          <w:sz w:val="18"/>
          <w:szCs w:val="18"/>
          <w:u w:val="single"/>
        </w:rPr>
        <w:t xml:space="preserve">the </w:t>
      </w:r>
      <w:r w:rsidR="0037009A" w:rsidRPr="00325F4F">
        <w:rPr>
          <w:rFonts w:cs="Times New Roman"/>
          <w:b/>
          <w:bCs/>
          <w:i/>
          <w:iCs/>
          <w:sz w:val="18"/>
          <w:szCs w:val="18"/>
          <w:u w:val="single"/>
        </w:rPr>
        <w:t xml:space="preserve">tables </w:t>
      </w:r>
      <w:r w:rsidRPr="00325F4F">
        <w:rPr>
          <w:rFonts w:cs="Times New Roman"/>
          <w:b/>
          <w:bCs/>
          <w:i/>
          <w:iCs/>
          <w:sz w:val="18"/>
          <w:szCs w:val="18"/>
          <w:u w:val="single"/>
        </w:rPr>
        <w:t>in chapter 1.</w:t>
      </w:r>
      <w:r w:rsidR="006C0C7B" w:rsidRPr="00325F4F">
        <w:rPr>
          <w:rFonts w:cs="Times New Roman"/>
          <w:b/>
          <w:bCs/>
          <w:i/>
          <w:iCs/>
          <w:sz w:val="18"/>
          <w:szCs w:val="18"/>
          <w:u w:val="single"/>
        </w:rPr>
        <w:t>2</w:t>
      </w:r>
      <w:r w:rsidR="00EE63BF" w:rsidRPr="00325F4F">
        <w:rPr>
          <w:rFonts w:cs="Times New Roman"/>
          <w:b/>
          <w:bCs/>
          <w:i/>
          <w:iCs/>
          <w:sz w:val="18"/>
          <w:szCs w:val="18"/>
          <w:u w:val="single"/>
        </w:rPr>
        <w:t>2</w:t>
      </w:r>
      <w:r w:rsidRPr="00325F4F">
        <w:rPr>
          <w:rFonts w:cs="Times New Roman"/>
          <w:b/>
          <w:bCs/>
          <w:i/>
          <w:iCs/>
          <w:sz w:val="18"/>
          <w:szCs w:val="18"/>
          <w:u w:val="single"/>
        </w:rPr>
        <w:t xml:space="preserve"> </w:t>
      </w:r>
      <w:r w:rsidR="00B21173" w:rsidRPr="00325F4F">
        <w:rPr>
          <w:rFonts w:cs="Times New Roman"/>
          <w:b/>
          <w:bCs/>
          <w:i/>
          <w:iCs/>
          <w:sz w:val="18"/>
          <w:szCs w:val="18"/>
          <w:u w:val="single"/>
        </w:rPr>
        <w:t xml:space="preserve">of the </w:t>
      </w:r>
      <w:r w:rsidR="00654A09" w:rsidRPr="00325F4F">
        <w:rPr>
          <w:rFonts w:cs="Times New Roman"/>
          <w:b/>
          <w:bCs/>
          <w:i/>
          <w:iCs/>
          <w:sz w:val="18"/>
          <w:szCs w:val="18"/>
          <w:u w:val="single"/>
        </w:rPr>
        <w:t>Arabic</w:t>
      </w:r>
      <w:r w:rsidRPr="00325F4F">
        <w:rPr>
          <w:rFonts w:cs="Times New Roman"/>
          <w:b/>
          <w:bCs/>
          <w:i/>
          <w:iCs/>
          <w:sz w:val="18"/>
          <w:szCs w:val="18"/>
          <w:u w:val="single"/>
        </w:rPr>
        <w:t xml:space="preserve"> </w:t>
      </w:r>
      <w:r w:rsidR="00B21173" w:rsidRPr="00325F4F">
        <w:rPr>
          <w:rFonts w:cs="Times New Roman"/>
          <w:b/>
          <w:bCs/>
          <w:i/>
          <w:iCs/>
          <w:sz w:val="18"/>
          <w:szCs w:val="18"/>
          <w:u w:val="single"/>
        </w:rPr>
        <w:t xml:space="preserve">section, </w:t>
      </w:r>
      <w:r w:rsidRPr="00325F4F">
        <w:rPr>
          <w:rFonts w:cs="Times New Roman"/>
          <w:b/>
          <w:bCs/>
          <w:i/>
          <w:iCs/>
          <w:sz w:val="18"/>
          <w:szCs w:val="18"/>
          <w:u w:val="single"/>
        </w:rPr>
        <w:t>page</w:t>
      </w:r>
      <w:r w:rsidR="00B21173" w:rsidRPr="00325F4F">
        <w:rPr>
          <w:rFonts w:cs="Times New Roman"/>
          <w:b/>
          <w:bCs/>
          <w:i/>
          <w:iCs/>
          <w:sz w:val="18"/>
          <w:szCs w:val="18"/>
          <w:u w:val="single"/>
        </w:rPr>
        <w:t>s</w:t>
      </w:r>
      <w:r w:rsidR="009C6CC8" w:rsidRPr="00325F4F">
        <w:rPr>
          <w:rFonts w:cs="Times New Roman"/>
          <w:b/>
          <w:bCs/>
          <w:i/>
          <w:iCs/>
          <w:sz w:val="18"/>
          <w:szCs w:val="18"/>
          <w:u w:val="single"/>
        </w:rPr>
        <w:t xml:space="preserve">    </w:t>
      </w:r>
      <w:r w:rsidR="006C0C7B" w:rsidRPr="00325F4F">
        <w:rPr>
          <w:rFonts w:cs="Times New Roman"/>
          <w:b/>
          <w:bCs/>
          <w:i/>
          <w:iCs/>
          <w:sz w:val="18"/>
          <w:szCs w:val="18"/>
          <w:u w:val="single"/>
        </w:rPr>
        <w:t xml:space="preserve"> </w:t>
      </w:r>
      <w:r w:rsidR="00426EE0">
        <w:rPr>
          <w:rFonts w:cs="Times New Roman"/>
          <w:b/>
          <w:bCs/>
          <w:i/>
          <w:iCs/>
          <w:sz w:val="18"/>
          <w:szCs w:val="18"/>
          <w:u w:val="single"/>
        </w:rPr>
        <w:t>219</w:t>
      </w:r>
      <w:r w:rsidR="006C0C7B" w:rsidRPr="00325F4F">
        <w:rPr>
          <w:rFonts w:cs="Times New Roman"/>
          <w:b/>
          <w:bCs/>
          <w:i/>
          <w:iCs/>
          <w:sz w:val="18"/>
          <w:szCs w:val="18"/>
          <w:u w:val="single"/>
        </w:rPr>
        <w:t>-</w:t>
      </w:r>
      <w:r w:rsidR="00426EE0">
        <w:rPr>
          <w:rFonts w:cs="Times New Roman"/>
          <w:b/>
          <w:bCs/>
          <w:i/>
          <w:iCs/>
          <w:sz w:val="18"/>
          <w:szCs w:val="18"/>
          <w:u w:val="single"/>
        </w:rPr>
        <w:t>222</w:t>
      </w:r>
      <w:r w:rsidR="00B21173" w:rsidRPr="00325F4F">
        <w:rPr>
          <w:rFonts w:cs="Times New Roman"/>
          <w:b/>
          <w:bCs/>
          <w:i/>
          <w:iCs/>
          <w:sz w:val="18"/>
          <w:szCs w:val="18"/>
          <w:u w:val="single"/>
        </w:rPr>
        <w:t>.</w:t>
      </w:r>
    </w:p>
    <w:p w:rsidR="005F6984" w:rsidRPr="00325F4F" w:rsidRDefault="005F6984" w:rsidP="005F6984">
      <w:pPr>
        <w:pStyle w:val="ListParagraph"/>
        <w:bidi w:val="0"/>
        <w:ind w:left="0"/>
        <w:jc w:val="lowKashida"/>
        <w:rPr>
          <w:rFonts w:cs="Times New Roman"/>
          <w:b/>
          <w:bCs/>
          <w:i/>
          <w:iCs/>
          <w:sz w:val="18"/>
          <w:szCs w:val="18"/>
          <w:u w:val="single"/>
        </w:rPr>
      </w:pPr>
    </w:p>
    <w:p w:rsidR="00F11EE2" w:rsidRPr="00325F4F" w:rsidRDefault="00F11EE2" w:rsidP="00332048">
      <w:pPr>
        <w:pStyle w:val="Title"/>
        <w:numPr>
          <w:ilvl w:val="0"/>
          <w:numId w:val="19"/>
        </w:numPr>
        <w:tabs>
          <w:tab w:val="right" w:pos="308"/>
        </w:tabs>
        <w:bidi w:val="0"/>
        <w:ind w:left="252" w:hanging="252"/>
        <w:jc w:val="left"/>
        <w:rPr>
          <w:rFonts w:cs="Traditional Arabic"/>
          <w:sz w:val="20"/>
          <w:szCs w:val="20"/>
        </w:rPr>
      </w:pPr>
      <w:r w:rsidRPr="00325F4F">
        <w:rPr>
          <w:rFonts w:cs="Traditional Arabic"/>
          <w:sz w:val="20"/>
          <w:szCs w:val="20"/>
        </w:rPr>
        <w:t>Registered Foreign Trade</w:t>
      </w:r>
    </w:p>
    <w:p w:rsidR="00F07C06" w:rsidRPr="00325F4F" w:rsidRDefault="00F07C06" w:rsidP="00F07C06">
      <w:pPr>
        <w:pStyle w:val="BodyText2"/>
        <w:numPr>
          <w:ilvl w:val="0"/>
          <w:numId w:val="19"/>
        </w:numPr>
        <w:overflowPunct/>
        <w:autoSpaceDE/>
        <w:autoSpaceDN/>
        <w:adjustRightInd/>
        <w:spacing w:after="120"/>
        <w:textAlignment w:val="auto"/>
        <w:rPr>
          <w:noProof/>
        </w:rPr>
      </w:pPr>
      <w:r w:rsidRPr="00325F4F">
        <w:rPr>
          <w:noProof/>
        </w:rPr>
        <w:t xml:space="preserve">The total value of registered imported goods in 2018 was USD </w:t>
      </w:r>
      <w:r w:rsidRPr="00325F4F">
        <w:rPr>
          <w:rFonts w:ascii="Simplified Arabic" w:hAnsi="Simplified Arabic"/>
        </w:rPr>
        <w:t>6,539.6</w:t>
      </w:r>
      <w:r w:rsidRPr="00325F4F">
        <w:rPr>
          <w:rFonts w:ascii="Simplified Arabic" w:hAnsi="Simplified Arabic" w:hint="cs"/>
          <w:rtl/>
        </w:rPr>
        <w:t xml:space="preserve"> </w:t>
      </w:r>
      <w:r w:rsidRPr="00325F4F">
        <w:rPr>
          <w:noProof/>
        </w:rPr>
        <w:t xml:space="preserve">million, which marks an increase of </w:t>
      </w:r>
      <w:r w:rsidRPr="00325F4F">
        <w:rPr>
          <w:rFonts w:hint="cs"/>
          <w:noProof/>
          <w:rtl/>
        </w:rPr>
        <w:t>11.7</w:t>
      </w:r>
      <w:r w:rsidRPr="00325F4F">
        <w:rPr>
          <w:noProof/>
        </w:rPr>
        <w:t>% compared with 2017.</w:t>
      </w:r>
    </w:p>
    <w:p w:rsidR="00F07C06" w:rsidRPr="00325F4F" w:rsidRDefault="00F07C06" w:rsidP="00F07C06">
      <w:pPr>
        <w:pStyle w:val="BodyText2"/>
        <w:numPr>
          <w:ilvl w:val="0"/>
          <w:numId w:val="19"/>
        </w:numPr>
        <w:overflowPunct/>
        <w:autoSpaceDE/>
        <w:autoSpaceDN/>
        <w:adjustRightInd/>
        <w:spacing w:after="120"/>
        <w:textAlignment w:val="auto"/>
        <w:rPr>
          <w:noProof/>
        </w:rPr>
      </w:pPr>
      <w:r w:rsidRPr="00325F4F">
        <w:rPr>
          <w:noProof/>
        </w:rPr>
        <w:t xml:space="preserve">The registered exported goods totaled USD </w:t>
      </w:r>
      <w:r w:rsidRPr="00325F4F">
        <w:rPr>
          <w:rFonts w:ascii="Simplified Arabic" w:hAnsi="Simplified Arabic"/>
        </w:rPr>
        <w:t>1,155.6</w:t>
      </w:r>
      <w:r w:rsidRPr="00325F4F">
        <w:rPr>
          <w:noProof/>
        </w:rPr>
        <w:t xml:space="preserve"> million marking an increase of </w:t>
      </w:r>
      <w:r w:rsidRPr="00325F4F">
        <w:rPr>
          <w:rFonts w:hint="cs"/>
          <w:noProof/>
          <w:rtl/>
        </w:rPr>
        <w:t>8.5</w:t>
      </w:r>
      <w:r w:rsidRPr="00325F4F">
        <w:rPr>
          <w:noProof/>
        </w:rPr>
        <w:t xml:space="preserve">% compared with 2017. </w:t>
      </w:r>
    </w:p>
    <w:p w:rsidR="00F07C06" w:rsidRPr="00325F4F" w:rsidRDefault="00F07C06" w:rsidP="00F07C06">
      <w:pPr>
        <w:pStyle w:val="BodyText2"/>
        <w:numPr>
          <w:ilvl w:val="0"/>
          <w:numId w:val="19"/>
        </w:numPr>
        <w:overflowPunct/>
        <w:autoSpaceDE/>
        <w:autoSpaceDN/>
        <w:adjustRightInd/>
        <w:spacing w:after="120"/>
        <w:textAlignment w:val="auto"/>
        <w:rPr>
          <w:noProof/>
        </w:rPr>
      </w:pPr>
      <w:r w:rsidRPr="00325F4F">
        <w:rPr>
          <w:noProof/>
        </w:rPr>
        <w:t xml:space="preserve">In 2018, the deficit in the net trade balance in goods totaled USD </w:t>
      </w:r>
      <w:r w:rsidRPr="00325F4F">
        <w:rPr>
          <w:rFonts w:ascii="Simplified Arabic" w:hAnsi="Simplified Arabic"/>
        </w:rPr>
        <w:t>5,384</w:t>
      </w:r>
      <w:r w:rsidRPr="00325F4F">
        <w:rPr>
          <w:rFonts w:ascii="Simplified Arabic" w:hAnsi="Simplified Arabic" w:hint="cs"/>
          <w:rtl/>
        </w:rPr>
        <w:t xml:space="preserve"> </w:t>
      </w:r>
      <w:r w:rsidRPr="00325F4F">
        <w:rPr>
          <w:noProof/>
        </w:rPr>
        <w:t xml:space="preserve">million, showing an increase of </w:t>
      </w:r>
      <w:r w:rsidRPr="00325F4F">
        <w:rPr>
          <w:rFonts w:hint="cs"/>
          <w:noProof/>
          <w:rtl/>
        </w:rPr>
        <w:t>12.4</w:t>
      </w:r>
      <w:r w:rsidRPr="00325F4F">
        <w:rPr>
          <w:noProof/>
        </w:rPr>
        <w:t>% compared with 2017</w:t>
      </w:r>
    </w:p>
    <w:p w:rsidR="00F07C06" w:rsidRPr="00325F4F" w:rsidRDefault="00F07C06" w:rsidP="00F07C06">
      <w:pPr>
        <w:pStyle w:val="ListParagraph"/>
      </w:pPr>
    </w:p>
    <w:p w:rsidR="00F07C06" w:rsidRPr="00050EE4" w:rsidRDefault="00050EE4" w:rsidP="00F07C06">
      <w:pPr>
        <w:pStyle w:val="Header"/>
        <w:tabs>
          <w:tab w:val="clear" w:pos="4153"/>
          <w:tab w:val="clear" w:pos="8306"/>
        </w:tabs>
        <w:jc w:val="center"/>
        <w:rPr>
          <w:b/>
          <w:bCs/>
          <w:sz w:val="10"/>
          <w:szCs w:val="10"/>
        </w:rPr>
      </w:pPr>
      <w:r>
        <w:rPr>
          <w:rFonts w:ascii="Arial" w:hAnsi="Arial"/>
          <w:b/>
          <w:bCs/>
          <w:sz w:val="18"/>
          <w:szCs w:val="18"/>
        </w:rPr>
        <w:t>V</w:t>
      </w:r>
      <w:r w:rsidR="00E64B2B" w:rsidRPr="00FD5544">
        <w:rPr>
          <w:rFonts w:ascii="Arial" w:hAnsi="Arial"/>
          <w:b/>
          <w:bCs/>
          <w:sz w:val="18"/>
          <w:szCs w:val="18"/>
        </w:rPr>
        <w:t xml:space="preserve">alue of Registered Imports, Exports in Goods and Net Trade Balance in Palestine, 2000 – </w:t>
      </w:r>
      <w:r w:rsidR="00E64B2B" w:rsidRPr="00FD5544">
        <w:rPr>
          <w:rFonts w:ascii="Arial" w:hAnsi="Arial" w:hint="cs"/>
          <w:b/>
          <w:bCs/>
          <w:sz w:val="18"/>
          <w:szCs w:val="18"/>
          <w:rtl/>
        </w:rPr>
        <w:t>2018</w:t>
      </w:r>
      <w:r w:rsidR="00E64B2B" w:rsidRPr="00FD5544">
        <w:rPr>
          <w:rFonts w:ascii="Arial" w:hAnsi="Arial"/>
          <w:b/>
          <w:bCs/>
          <w:sz w:val="18"/>
          <w:szCs w:val="18"/>
        </w:rPr>
        <w:br/>
      </w:r>
    </w:p>
    <w:tbl>
      <w:tblPr>
        <w:tblStyle w:val="TableGrid"/>
        <w:tblW w:w="0" w:type="auto"/>
        <w:tblLook w:val="04A0"/>
      </w:tblPr>
      <w:tblGrid>
        <w:gridCol w:w="7587"/>
      </w:tblGrid>
      <w:tr w:rsidR="00F07C06" w:rsidRPr="00325F4F" w:rsidTr="000432A2">
        <w:tc>
          <w:tcPr>
            <w:tcW w:w="7587" w:type="dxa"/>
          </w:tcPr>
          <w:p w:rsidR="00F07C06" w:rsidRPr="00325F4F" w:rsidRDefault="00F07C06" w:rsidP="000432A2">
            <w:pPr>
              <w:pStyle w:val="Header"/>
              <w:tabs>
                <w:tab w:val="clear" w:pos="4153"/>
                <w:tab w:val="clear" w:pos="8306"/>
              </w:tabs>
              <w:jc w:val="center"/>
              <w:rPr>
                <w:b/>
                <w:bCs/>
                <w:sz w:val="10"/>
                <w:szCs w:val="10"/>
              </w:rPr>
            </w:pPr>
            <w:r w:rsidRPr="00325F4F">
              <w:rPr>
                <w:b/>
                <w:bCs/>
                <w:noProof/>
                <w:sz w:val="10"/>
                <w:szCs w:val="10"/>
              </w:rPr>
              <w:drawing>
                <wp:inline distT="0" distB="0" distL="0" distR="0">
                  <wp:extent cx="4680585" cy="2145847"/>
                  <wp:effectExtent l="0" t="0" r="5715"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F07C06" w:rsidRPr="00325F4F" w:rsidRDefault="00F07C06" w:rsidP="00F07C06">
      <w:pPr>
        <w:pStyle w:val="Header"/>
        <w:tabs>
          <w:tab w:val="clear" w:pos="4153"/>
          <w:tab w:val="clear" w:pos="8306"/>
        </w:tabs>
        <w:jc w:val="center"/>
        <w:rPr>
          <w:b/>
          <w:bCs/>
          <w:sz w:val="10"/>
          <w:szCs w:val="10"/>
        </w:rPr>
      </w:pPr>
    </w:p>
    <w:p w:rsidR="00F07C06" w:rsidRPr="00325F4F" w:rsidRDefault="00F07C06" w:rsidP="00F07C06">
      <w:pPr>
        <w:jc w:val="lowKashida"/>
        <w:rPr>
          <w:sz w:val="14"/>
          <w:szCs w:val="14"/>
        </w:rPr>
      </w:pPr>
      <w:r w:rsidRPr="00325F4F">
        <w:rPr>
          <w:rFonts w:ascii="Arial" w:hAnsi="Arial"/>
          <w:sz w:val="14"/>
          <w:szCs w:val="14"/>
        </w:rPr>
        <w:t>*:</w:t>
      </w:r>
      <w:r w:rsidRPr="00325F4F">
        <w:rPr>
          <w:rFonts w:ascii="Arial" w:hAnsi="Arial" w:cs="Arial"/>
          <w:sz w:val="14"/>
          <w:szCs w:val="14"/>
        </w:rPr>
        <w:t xml:space="preserve"> Data exclude</w:t>
      </w:r>
      <w:r w:rsidR="000C2FDB">
        <w:rPr>
          <w:rFonts w:ascii="Arial" w:hAnsi="Arial" w:cs="Arial"/>
          <w:sz w:val="14"/>
          <w:szCs w:val="14"/>
        </w:rPr>
        <w:t>d</w:t>
      </w:r>
      <w:r w:rsidRPr="00325F4F">
        <w:rPr>
          <w:rFonts w:ascii="Arial" w:hAnsi="Arial" w:cs="Arial"/>
          <w:sz w:val="14"/>
          <w:szCs w:val="14"/>
        </w:rPr>
        <w:t xml:space="preserve"> those parts of Jerusalem which were annexed by Israel Occupation in 1967</w:t>
      </w:r>
      <w:r w:rsidRPr="00325F4F">
        <w:rPr>
          <w:sz w:val="14"/>
          <w:szCs w:val="14"/>
        </w:rPr>
        <w:t>.</w:t>
      </w:r>
    </w:p>
    <w:p w:rsidR="00121893" w:rsidRPr="00325F4F" w:rsidRDefault="00121893" w:rsidP="00121893">
      <w:pPr>
        <w:jc w:val="lowKashida"/>
        <w:rPr>
          <w:sz w:val="10"/>
          <w:szCs w:val="10"/>
        </w:rPr>
      </w:pPr>
    </w:p>
    <w:p w:rsidR="00121893" w:rsidRPr="00325F4F" w:rsidRDefault="00121893" w:rsidP="00426EE0">
      <w:pPr>
        <w:pStyle w:val="Title"/>
        <w:tabs>
          <w:tab w:val="right" w:pos="308"/>
        </w:tabs>
        <w:bidi w:val="0"/>
        <w:jc w:val="left"/>
        <w:rPr>
          <w:rFonts w:cs="Times New Roman"/>
          <w:i/>
          <w:iCs/>
          <w:sz w:val="18"/>
          <w:szCs w:val="18"/>
          <w:u w:val="single"/>
        </w:rPr>
      </w:pPr>
      <w:r w:rsidRPr="00325F4F">
        <w:rPr>
          <w:rFonts w:cs="Times New Roman"/>
          <w:i/>
          <w:iCs/>
          <w:sz w:val="18"/>
          <w:szCs w:val="18"/>
          <w:u w:val="single"/>
        </w:rPr>
        <w:t xml:space="preserve">For more details on </w:t>
      </w:r>
      <w:r w:rsidR="008F6290" w:rsidRPr="00325F4F">
        <w:rPr>
          <w:rFonts w:cs="Times New Roman"/>
          <w:i/>
          <w:iCs/>
          <w:sz w:val="18"/>
          <w:szCs w:val="18"/>
          <w:u w:val="single"/>
        </w:rPr>
        <w:t xml:space="preserve">Registered Foreign Trade </w:t>
      </w:r>
      <w:r w:rsidRPr="00325F4F">
        <w:rPr>
          <w:rFonts w:cs="Times New Roman"/>
          <w:i/>
          <w:iCs/>
          <w:sz w:val="18"/>
          <w:szCs w:val="18"/>
          <w:u w:val="single"/>
        </w:rPr>
        <w:t>, see the tables in chapter 1.2</w:t>
      </w:r>
      <w:r w:rsidR="00EE63BF" w:rsidRPr="00325F4F">
        <w:rPr>
          <w:rFonts w:cs="Times New Roman"/>
          <w:i/>
          <w:iCs/>
          <w:sz w:val="18"/>
          <w:szCs w:val="18"/>
          <w:u w:val="single"/>
        </w:rPr>
        <w:t>3</w:t>
      </w:r>
      <w:r w:rsidRPr="00325F4F">
        <w:rPr>
          <w:rFonts w:cs="Times New Roman"/>
          <w:i/>
          <w:iCs/>
          <w:sz w:val="18"/>
          <w:szCs w:val="18"/>
          <w:u w:val="single"/>
        </w:rPr>
        <w:t xml:space="preserve"> of the Arabic section, pages </w:t>
      </w:r>
      <w:r w:rsidR="00C45804" w:rsidRPr="00325F4F">
        <w:rPr>
          <w:rFonts w:cs="Times New Roman"/>
          <w:i/>
          <w:iCs/>
          <w:sz w:val="18"/>
          <w:szCs w:val="18"/>
          <w:u w:val="single"/>
        </w:rPr>
        <w:t xml:space="preserve">  </w:t>
      </w:r>
      <w:r w:rsidR="00426EE0">
        <w:rPr>
          <w:rFonts w:cs="Times New Roman"/>
          <w:i/>
          <w:iCs/>
          <w:sz w:val="18"/>
          <w:szCs w:val="18"/>
          <w:u w:val="single"/>
        </w:rPr>
        <w:t>223</w:t>
      </w:r>
      <w:r w:rsidRPr="00325F4F">
        <w:rPr>
          <w:rFonts w:cs="Times New Roman"/>
          <w:i/>
          <w:iCs/>
          <w:sz w:val="18"/>
          <w:szCs w:val="18"/>
          <w:u w:val="single"/>
        </w:rPr>
        <w:t>-</w:t>
      </w:r>
      <w:r w:rsidR="00426EE0">
        <w:rPr>
          <w:rFonts w:cs="Times New Roman"/>
          <w:i/>
          <w:iCs/>
          <w:sz w:val="18"/>
          <w:szCs w:val="18"/>
          <w:u w:val="single"/>
        </w:rPr>
        <w:t>230</w:t>
      </w:r>
      <w:r w:rsidRPr="00325F4F">
        <w:rPr>
          <w:rFonts w:cs="Times New Roman"/>
          <w:i/>
          <w:iCs/>
          <w:sz w:val="18"/>
          <w:szCs w:val="18"/>
          <w:u w:val="single"/>
        </w:rPr>
        <w:t>.</w:t>
      </w:r>
    </w:p>
    <w:p w:rsidR="00F11EE2" w:rsidRPr="00325F4F" w:rsidRDefault="00F11EE2" w:rsidP="00F11EE2">
      <w:pPr>
        <w:pStyle w:val="ListParagraph"/>
        <w:bidi w:val="0"/>
        <w:ind w:left="0"/>
        <w:jc w:val="lowKashida"/>
        <w:rPr>
          <w:rFonts w:cs="Times New Roman"/>
          <w:i/>
          <w:iCs/>
          <w:sz w:val="10"/>
          <w:szCs w:val="10"/>
          <w:u w:val="single"/>
        </w:rPr>
      </w:pPr>
    </w:p>
    <w:p w:rsidR="00841227" w:rsidRDefault="00841227">
      <w:pPr>
        <w:overflowPunct/>
        <w:autoSpaceDE/>
        <w:autoSpaceDN/>
        <w:adjustRightInd/>
        <w:textAlignment w:val="auto"/>
        <w:rPr>
          <w:rFonts w:cs="Traditional Arabic"/>
          <w:b/>
          <w:bCs/>
          <w:noProof/>
          <w:rtl/>
        </w:rPr>
      </w:pPr>
      <w:r>
        <w:rPr>
          <w:rFonts w:cs="Traditional Arabic"/>
          <w:rtl/>
        </w:rPr>
        <w:br w:type="page"/>
      </w:r>
    </w:p>
    <w:p w:rsidR="002514FB" w:rsidRPr="00325F4F" w:rsidRDefault="008C2889" w:rsidP="00426EE0">
      <w:pPr>
        <w:pStyle w:val="Title"/>
        <w:tabs>
          <w:tab w:val="right" w:pos="308"/>
        </w:tabs>
        <w:bidi w:val="0"/>
        <w:jc w:val="left"/>
        <w:rPr>
          <w:rFonts w:cs="Traditional Arabic"/>
          <w:sz w:val="20"/>
          <w:szCs w:val="20"/>
          <w:rtl/>
        </w:rPr>
      </w:pPr>
      <w:r>
        <w:rPr>
          <w:rFonts w:cs="Traditional Arabic" w:hint="cs"/>
          <w:sz w:val="20"/>
          <w:szCs w:val="20"/>
          <w:rtl/>
        </w:rPr>
        <w:lastRenderedPageBreak/>
        <w:t>24</w:t>
      </w:r>
      <w:r>
        <w:rPr>
          <w:rFonts w:cs="Traditional Arabic"/>
          <w:sz w:val="20"/>
          <w:szCs w:val="20"/>
        </w:rPr>
        <w:t xml:space="preserve">. </w:t>
      </w:r>
      <w:r w:rsidR="002514FB" w:rsidRPr="00325F4F">
        <w:rPr>
          <w:rFonts w:cs="Traditional Arabic"/>
          <w:sz w:val="20"/>
          <w:szCs w:val="20"/>
        </w:rPr>
        <w:t xml:space="preserve">Balance of Payments </w:t>
      </w:r>
    </w:p>
    <w:p w:rsidR="001E75CD" w:rsidRPr="00325F4F" w:rsidRDefault="001E75CD" w:rsidP="00332048">
      <w:pPr>
        <w:pStyle w:val="Title"/>
        <w:bidi w:val="0"/>
        <w:ind w:left="-210" w:firstLine="210"/>
        <w:jc w:val="left"/>
        <w:rPr>
          <w:rFonts w:cs="Traditional Arabic"/>
          <w:sz w:val="20"/>
          <w:szCs w:val="20"/>
        </w:rPr>
      </w:pPr>
      <w:r w:rsidRPr="00325F4F">
        <w:rPr>
          <w:rFonts w:cs="Traditional Arabic"/>
          <w:sz w:val="20"/>
          <w:szCs w:val="20"/>
        </w:rPr>
        <w:t>2</w:t>
      </w:r>
      <w:r w:rsidR="00332048" w:rsidRPr="00325F4F">
        <w:rPr>
          <w:rFonts w:cs="Traditional Arabic"/>
          <w:sz w:val="20"/>
          <w:szCs w:val="20"/>
        </w:rPr>
        <w:t>4</w:t>
      </w:r>
      <w:r w:rsidRPr="00325F4F">
        <w:rPr>
          <w:rFonts w:cs="Traditional Arabic"/>
          <w:sz w:val="20"/>
          <w:szCs w:val="20"/>
        </w:rPr>
        <w:t>.1 Current Account</w:t>
      </w:r>
    </w:p>
    <w:p w:rsidR="007D011D" w:rsidRPr="00325F4F" w:rsidRDefault="007D011D" w:rsidP="00343AF8">
      <w:pPr>
        <w:pStyle w:val="BodyText2"/>
        <w:numPr>
          <w:ilvl w:val="0"/>
          <w:numId w:val="2"/>
        </w:numPr>
        <w:overflowPunct/>
        <w:autoSpaceDE/>
        <w:autoSpaceDN/>
        <w:adjustRightInd/>
        <w:spacing w:after="120"/>
        <w:ind w:left="266" w:hanging="266"/>
        <w:textAlignment w:val="auto"/>
        <w:rPr>
          <w:noProof/>
        </w:rPr>
      </w:pPr>
      <w:r w:rsidRPr="00325F4F">
        <w:rPr>
          <w:noProof/>
        </w:rPr>
        <w:t xml:space="preserve">The Palestinian balance of payments in 2018 recorded a deficit of USD </w:t>
      </w:r>
      <w:r w:rsidR="00343AF8">
        <w:rPr>
          <w:noProof/>
        </w:rPr>
        <w:t>2,140</w:t>
      </w:r>
      <w:r w:rsidR="003A2705">
        <w:rPr>
          <w:noProof/>
        </w:rPr>
        <w:t xml:space="preserve"> </w:t>
      </w:r>
      <w:r w:rsidRPr="00325F4F">
        <w:rPr>
          <w:noProof/>
        </w:rPr>
        <w:t xml:space="preserve">million in the current account (goods, services, income, current transfers) compared with a deficit of USD </w:t>
      </w:r>
      <w:r w:rsidRPr="00325F4F">
        <w:rPr>
          <w:rFonts w:hint="cs"/>
          <w:noProof/>
          <w:rtl/>
        </w:rPr>
        <w:t>2,</w:t>
      </w:r>
      <w:r w:rsidR="00343AF8">
        <w:rPr>
          <w:noProof/>
        </w:rPr>
        <w:t>130</w:t>
      </w:r>
      <w:r w:rsidR="003A2705">
        <w:rPr>
          <w:noProof/>
        </w:rPr>
        <w:t xml:space="preserve"> </w:t>
      </w:r>
      <w:r w:rsidRPr="00325F4F">
        <w:rPr>
          <w:noProof/>
        </w:rPr>
        <w:t>million in 2017.</w:t>
      </w:r>
    </w:p>
    <w:p w:rsidR="007D011D" w:rsidRPr="00325F4F" w:rsidRDefault="007D011D" w:rsidP="002E31D0">
      <w:pPr>
        <w:pStyle w:val="BodyText2"/>
        <w:numPr>
          <w:ilvl w:val="0"/>
          <w:numId w:val="2"/>
        </w:numPr>
        <w:overflowPunct/>
        <w:autoSpaceDE/>
        <w:autoSpaceDN/>
        <w:adjustRightInd/>
        <w:spacing w:after="120"/>
        <w:ind w:left="266" w:hanging="266"/>
        <w:textAlignment w:val="auto"/>
        <w:rPr>
          <w:noProof/>
        </w:rPr>
      </w:pPr>
      <w:r w:rsidRPr="00325F4F">
        <w:rPr>
          <w:noProof/>
        </w:rPr>
        <w:t>The trade balance of goods recorded</w:t>
      </w:r>
      <w:r w:rsidRPr="00325F4F">
        <w:rPr>
          <w:noProof/>
          <w:rtl/>
        </w:rPr>
        <w:t xml:space="preserve"> </w:t>
      </w:r>
      <w:r w:rsidRPr="00325F4F">
        <w:rPr>
          <w:noProof/>
        </w:rPr>
        <w:t xml:space="preserve">a deficit of USD </w:t>
      </w:r>
      <w:r w:rsidR="00343AF8">
        <w:rPr>
          <w:noProof/>
        </w:rPr>
        <w:t>5,393 million</w:t>
      </w:r>
      <w:r w:rsidRPr="00325F4F">
        <w:rPr>
          <w:noProof/>
        </w:rPr>
        <w:t xml:space="preserve">.  This reflects an </w:t>
      </w:r>
      <w:r w:rsidR="00343AF8">
        <w:rPr>
          <w:noProof/>
        </w:rPr>
        <w:t xml:space="preserve">increase </w:t>
      </w:r>
      <w:r w:rsidRPr="00325F4F">
        <w:rPr>
          <w:noProof/>
        </w:rPr>
        <w:t xml:space="preserve">of </w:t>
      </w:r>
      <w:r w:rsidR="00343AF8">
        <w:rPr>
          <w:noProof/>
        </w:rPr>
        <w:t>8</w:t>
      </w:r>
      <w:r w:rsidRPr="00325F4F">
        <w:rPr>
          <w:noProof/>
        </w:rPr>
        <w:t>% compared with the 2017 deficit.  The trade balance deficit with Israel was the main cause of the overall trade balance deficit.</w:t>
      </w:r>
    </w:p>
    <w:p w:rsidR="007D011D" w:rsidRPr="00325F4F" w:rsidRDefault="007D011D" w:rsidP="002E31D0">
      <w:pPr>
        <w:pStyle w:val="BodyText2"/>
        <w:numPr>
          <w:ilvl w:val="0"/>
          <w:numId w:val="2"/>
        </w:numPr>
        <w:overflowPunct/>
        <w:autoSpaceDE/>
        <w:autoSpaceDN/>
        <w:adjustRightInd/>
        <w:spacing w:after="120"/>
        <w:ind w:left="266" w:hanging="266"/>
        <w:textAlignment w:val="auto"/>
        <w:rPr>
          <w:noProof/>
        </w:rPr>
      </w:pPr>
      <w:r w:rsidRPr="00325F4F">
        <w:rPr>
          <w:noProof/>
        </w:rPr>
        <w:t>The services balance recorded a deficit of USD</w:t>
      </w:r>
      <w:r w:rsidR="00342B75">
        <w:rPr>
          <w:noProof/>
        </w:rPr>
        <w:t xml:space="preserve"> </w:t>
      </w:r>
      <w:r w:rsidRPr="00325F4F">
        <w:rPr>
          <w:rFonts w:hint="cs"/>
          <w:noProof/>
          <w:rtl/>
        </w:rPr>
        <w:t>1,0</w:t>
      </w:r>
      <w:r w:rsidR="00343AF8">
        <w:rPr>
          <w:noProof/>
        </w:rPr>
        <w:t>33</w:t>
      </w:r>
      <w:r w:rsidRPr="00325F4F">
        <w:rPr>
          <w:noProof/>
        </w:rPr>
        <w:t xml:space="preserve"> million.  The </w:t>
      </w:r>
      <w:r w:rsidR="00A26100">
        <w:rPr>
          <w:noProof/>
        </w:rPr>
        <w:t>rise</w:t>
      </w:r>
      <w:r w:rsidRPr="00325F4F">
        <w:rPr>
          <w:noProof/>
        </w:rPr>
        <w:t xml:space="preserve"> in the services balance deficit was caused by increased </w:t>
      </w:r>
      <w:r w:rsidR="00A26100">
        <w:rPr>
          <w:noProof/>
        </w:rPr>
        <w:t>im</w:t>
      </w:r>
      <w:r w:rsidRPr="00325F4F">
        <w:rPr>
          <w:noProof/>
        </w:rPr>
        <w:t xml:space="preserve">ports in </w:t>
      </w:r>
      <w:r w:rsidR="00A26100" w:rsidRPr="00325F4F">
        <w:rPr>
          <w:noProof/>
        </w:rPr>
        <w:t xml:space="preserve">travel services </w:t>
      </w:r>
      <w:r w:rsidR="00A26100">
        <w:rPr>
          <w:noProof/>
        </w:rPr>
        <w:t xml:space="preserve">and transport </w:t>
      </w:r>
      <w:r w:rsidRPr="00325F4F">
        <w:rPr>
          <w:noProof/>
        </w:rPr>
        <w:t>services</w:t>
      </w:r>
      <w:r w:rsidR="00A26100">
        <w:rPr>
          <w:noProof/>
        </w:rPr>
        <w:t>.</w:t>
      </w:r>
    </w:p>
    <w:p w:rsidR="00E619C1" w:rsidRPr="00325F4F" w:rsidRDefault="00E619C1">
      <w:pPr>
        <w:overflowPunct/>
        <w:autoSpaceDE/>
        <w:autoSpaceDN/>
        <w:adjustRightInd/>
        <w:textAlignment w:val="auto"/>
        <w:rPr>
          <w:b/>
          <w:bCs/>
        </w:rPr>
      </w:pPr>
    </w:p>
    <w:p w:rsidR="001E75CD" w:rsidRPr="00325F4F" w:rsidRDefault="001E75CD" w:rsidP="00332048">
      <w:pPr>
        <w:pStyle w:val="Title"/>
        <w:bidi w:val="0"/>
        <w:ind w:left="-210" w:firstLine="210"/>
        <w:jc w:val="left"/>
        <w:rPr>
          <w:rFonts w:cs="Traditional Arabic"/>
          <w:sz w:val="20"/>
          <w:szCs w:val="20"/>
        </w:rPr>
      </w:pPr>
      <w:r w:rsidRPr="00325F4F">
        <w:rPr>
          <w:rFonts w:cs="Traditional Arabic"/>
          <w:sz w:val="20"/>
          <w:szCs w:val="20"/>
        </w:rPr>
        <w:t>2</w:t>
      </w:r>
      <w:r w:rsidR="00332048" w:rsidRPr="00325F4F">
        <w:rPr>
          <w:rFonts w:cs="Traditional Arabic"/>
          <w:sz w:val="20"/>
          <w:szCs w:val="20"/>
        </w:rPr>
        <w:t>4</w:t>
      </w:r>
      <w:r w:rsidRPr="00325F4F">
        <w:rPr>
          <w:rFonts w:cs="Traditional Arabic"/>
          <w:sz w:val="20"/>
          <w:szCs w:val="20"/>
        </w:rPr>
        <w:t>.2 Income Balance</w:t>
      </w:r>
    </w:p>
    <w:p w:rsidR="007D011D" w:rsidRPr="00325F4F" w:rsidRDefault="007D011D" w:rsidP="00313648">
      <w:pPr>
        <w:pStyle w:val="BodyText2"/>
        <w:numPr>
          <w:ilvl w:val="0"/>
          <w:numId w:val="2"/>
        </w:numPr>
        <w:overflowPunct/>
        <w:autoSpaceDE/>
        <w:autoSpaceDN/>
        <w:adjustRightInd/>
        <w:spacing w:after="120"/>
        <w:ind w:left="266" w:hanging="266"/>
        <w:textAlignment w:val="auto"/>
        <w:rPr>
          <w:noProof/>
        </w:rPr>
      </w:pPr>
      <w:r w:rsidRPr="00325F4F">
        <w:rPr>
          <w:noProof/>
        </w:rPr>
        <w:t xml:space="preserve">A surplus of USD </w:t>
      </w:r>
      <w:r w:rsidRPr="00325F4F">
        <w:rPr>
          <w:rFonts w:hint="cs"/>
          <w:noProof/>
          <w:rtl/>
        </w:rPr>
        <w:t>2,</w:t>
      </w:r>
      <w:r w:rsidR="00A26100">
        <w:rPr>
          <w:noProof/>
        </w:rPr>
        <w:t>786</w:t>
      </w:r>
      <w:r w:rsidRPr="00325F4F">
        <w:rPr>
          <w:noProof/>
        </w:rPr>
        <w:t xml:space="preserve"> million was recorded in this account in 2018, representing an increase of </w:t>
      </w:r>
      <w:r w:rsidR="00A26100">
        <w:rPr>
          <w:noProof/>
        </w:rPr>
        <w:t>31</w:t>
      </w:r>
      <w:r w:rsidRPr="00325F4F">
        <w:rPr>
          <w:noProof/>
        </w:rPr>
        <w:t>% compared with 2017.  The surplus was caused mainly by the surplus in compensations of employees working in Israel, which totaled USD 2,</w:t>
      </w:r>
      <w:r w:rsidR="00A26100">
        <w:rPr>
          <w:noProof/>
        </w:rPr>
        <w:t>620</w:t>
      </w:r>
      <w:r w:rsidRPr="00325F4F">
        <w:rPr>
          <w:rFonts w:hint="cs"/>
          <w:noProof/>
          <w:rtl/>
        </w:rPr>
        <w:t xml:space="preserve"> </w:t>
      </w:r>
      <w:r w:rsidRPr="00325F4F">
        <w:rPr>
          <w:noProof/>
        </w:rPr>
        <w:t xml:space="preserve">million and reflects an increase of </w:t>
      </w:r>
      <w:r w:rsidR="00A26100">
        <w:rPr>
          <w:noProof/>
        </w:rPr>
        <w:t>26</w:t>
      </w:r>
      <w:r w:rsidRPr="00325F4F">
        <w:rPr>
          <w:noProof/>
        </w:rPr>
        <w:t xml:space="preserve">% compared with 2017. Investment income received from abroad totaled USD </w:t>
      </w:r>
      <w:r w:rsidR="00A26100">
        <w:rPr>
          <w:noProof/>
        </w:rPr>
        <w:t>318</w:t>
      </w:r>
      <w:r w:rsidRPr="00325F4F">
        <w:rPr>
          <w:noProof/>
        </w:rPr>
        <w:t xml:space="preserve"> million, </w:t>
      </w:r>
      <w:r w:rsidR="00A26100" w:rsidRPr="00325F4F">
        <w:rPr>
          <w:noProof/>
        </w:rPr>
        <w:t xml:space="preserve">reflects an increase </w:t>
      </w:r>
      <w:r w:rsidRPr="00325F4F">
        <w:rPr>
          <w:noProof/>
        </w:rPr>
        <w:t xml:space="preserve">of </w:t>
      </w:r>
      <w:r w:rsidR="00A26100">
        <w:rPr>
          <w:noProof/>
        </w:rPr>
        <w:t>64</w:t>
      </w:r>
      <w:r w:rsidRPr="00325F4F">
        <w:rPr>
          <w:noProof/>
        </w:rPr>
        <w:t>% compared with 2017. This was caused mainly by an increase in the earnings received on portfolio investments invested abroad, in addition to earnings received on other investments abroad (mainly interest income on deposits abroad).</w:t>
      </w:r>
    </w:p>
    <w:p w:rsidR="007D011D" w:rsidRPr="00325F4F" w:rsidRDefault="007D011D" w:rsidP="007D011D">
      <w:pPr>
        <w:pStyle w:val="BodyText"/>
        <w:tabs>
          <w:tab w:val="num" w:pos="1211"/>
        </w:tabs>
        <w:overflowPunct/>
        <w:autoSpaceDE/>
        <w:autoSpaceDN/>
        <w:adjustRightInd/>
        <w:ind w:left="142"/>
        <w:jc w:val="lowKashida"/>
        <w:textAlignment w:val="auto"/>
      </w:pPr>
    </w:p>
    <w:p w:rsidR="007D011D" w:rsidRPr="00325F4F" w:rsidRDefault="007D011D" w:rsidP="007D011D">
      <w:pPr>
        <w:pStyle w:val="Title"/>
        <w:bidi w:val="0"/>
        <w:ind w:left="-210" w:firstLine="210"/>
        <w:jc w:val="left"/>
        <w:rPr>
          <w:rFonts w:cs="Traditional Arabic"/>
          <w:sz w:val="20"/>
          <w:szCs w:val="20"/>
        </w:rPr>
      </w:pPr>
      <w:r w:rsidRPr="00325F4F">
        <w:rPr>
          <w:rFonts w:cs="Traditional Arabic"/>
          <w:sz w:val="20"/>
          <w:szCs w:val="20"/>
        </w:rPr>
        <w:t>24.3 Capital and Financial Account</w:t>
      </w:r>
    </w:p>
    <w:p w:rsidR="007D011D" w:rsidRPr="00325F4F" w:rsidRDefault="007D011D" w:rsidP="00A26100">
      <w:pPr>
        <w:pStyle w:val="BodyText2"/>
        <w:numPr>
          <w:ilvl w:val="0"/>
          <w:numId w:val="2"/>
        </w:numPr>
        <w:overflowPunct/>
        <w:autoSpaceDE/>
        <w:autoSpaceDN/>
        <w:adjustRightInd/>
        <w:spacing w:after="120"/>
        <w:ind w:left="266" w:hanging="266"/>
        <w:textAlignment w:val="auto"/>
        <w:rPr>
          <w:noProof/>
        </w:rPr>
      </w:pPr>
      <w:r w:rsidRPr="00325F4F">
        <w:rPr>
          <w:noProof/>
        </w:rPr>
        <w:t xml:space="preserve">This account recorded a surplus of USD </w:t>
      </w:r>
      <w:r w:rsidRPr="00325F4F">
        <w:rPr>
          <w:noProof/>
          <w:rtl/>
        </w:rPr>
        <w:t>1</w:t>
      </w:r>
      <w:r w:rsidRPr="00325F4F">
        <w:rPr>
          <w:rFonts w:hint="cs"/>
          <w:noProof/>
          <w:rtl/>
        </w:rPr>
        <w:t>,</w:t>
      </w:r>
      <w:r w:rsidR="00A26100">
        <w:rPr>
          <w:noProof/>
        </w:rPr>
        <w:t>776</w:t>
      </w:r>
      <w:r w:rsidRPr="00325F4F">
        <w:rPr>
          <w:noProof/>
        </w:rPr>
        <w:t xml:space="preserve"> million in 2018, mainly due to the surplus in the financial account (direct investments, portfolio investments, other investments and reserve assets), which totaled USD </w:t>
      </w:r>
      <w:r w:rsidRPr="00325F4F">
        <w:rPr>
          <w:rFonts w:hint="cs"/>
          <w:noProof/>
          <w:rtl/>
        </w:rPr>
        <w:t>1</w:t>
      </w:r>
      <w:r w:rsidR="003A2705">
        <w:rPr>
          <w:noProof/>
        </w:rPr>
        <w:t>,</w:t>
      </w:r>
      <w:r w:rsidR="00A26100">
        <w:rPr>
          <w:noProof/>
        </w:rPr>
        <w:t xml:space="preserve">327 </w:t>
      </w:r>
      <w:r w:rsidRPr="00325F4F">
        <w:rPr>
          <w:noProof/>
        </w:rPr>
        <w:t xml:space="preserve">million as a result of the surplus in currency and deposits in other investments. </w:t>
      </w:r>
    </w:p>
    <w:p w:rsidR="00EE63BF" w:rsidRPr="00325F4F" w:rsidRDefault="00EE63BF" w:rsidP="001E75CD">
      <w:pPr>
        <w:pStyle w:val="ListParagraph"/>
        <w:bidi w:val="0"/>
        <w:ind w:left="0"/>
        <w:jc w:val="lowKashida"/>
        <w:rPr>
          <w:rFonts w:cs="Times New Roman"/>
          <w:i/>
          <w:iCs/>
          <w:sz w:val="20"/>
          <w:u w:val="single"/>
        </w:rPr>
      </w:pPr>
    </w:p>
    <w:p w:rsidR="001E75CD" w:rsidRPr="00325F4F" w:rsidRDefault="001E75CD"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the balance of payments, see the tables in chapter </w:t>
      </w:r>
      <w:r w:rsidR="00EE63BF" w:rsidRPr="00325F4F">
        <w:rPr>
          <w:rFonts w:cs="Times New Roman"/>
          <w:b/>
          <w:bCs/>
          <w:i/>
          <w:iCs/>
          <w:sz w:val="18"/>
          <w:szCs w:val="18"/>
          <w:u w:val="single"/>
        </w:rPr>
        <w:t>1.24</w:t>
      </w:r>
      <w:r w:rsidRPr="00325F4F">
        <w:rPr>
          <w:rFonts w:cs="Times New Roman"/>
          <w:b/>
          <w:bCs/>
          <w:i/>
          <w:iCs/>
          <w:sz w:val="18"/>
          <w:szCs w:val="18"/>
          <w:u w:val="single"/>
        </w:rPr>
        <w:t xml:space="preserve"> of the Arabic section, pages </w:t>
      </w:r>
      <w:r w:rsidR="00426EE0">
        <w:rPr>
          <w:rFonts w:cs="Times New Roman"/>
          <w:b/>
          <w:bCs/>
          <w:i/>
          <w:iCs/>
          <w:sz w:val="18"/>
          <w:szCs w:val="18"/>
          <w:u w:val="single"/>
        </w:rPr>
        <w:t>231</w:t>
      </w:r>
      <w:r w:rsidRPr="00325F4F">
        <w:rPr>
          <w:rFonts w:cs="Times New Roman"/>
          <w:b/>
          <w:bCs/>
          <w:i/>
          <w:iCs/>
          <w:sz w:val="18"/>
          <w:szCs w:val="18"/>
          <w:u w:val="single"/>
        </w:rPr>
        <w:t>-</w:t>
      </w:r>
      <w:r w:rsidR="00426EE0">
        <w:rPr>
          <w:rFonts w:cs="Times New Roman"/>
          <w:b/>
          <w:bCs/>
          <w:i/>
          <w:iCs/>
          <w:sz w:val="18"/>
          <w:szCs w:val="18"/>
          <w:u w:val="single"/>
        </w:rPr>
        <w:t>234</w:t>
      </w:r>
      <w:r w:rsidRPr="00325F4F">
        <w:rPr>
          <w:rFonts w:cs="Times New Roman"/>
          <w:b/>
          <w:bCs/>
          <w:i/>
          <w:iCs/>
          <w:sz w:val="18"/>
          <w:szCs w:val="18"/>
          <w:u w:val="single"/>
        </w:rPr>
        <w:t>.</w:t>
      </w:r>
    </w:p>
    <w:p w:rsidR="00B0601E" w:rsidRPr="00325F4F" w:rsidRDefault="00B0601E" w:rsidP="000C5F39">
      <w:pPr>
        <w:pStyle w:val="Title"/>
        <w:bidi w:val="0"/>
        <w:jc w:val="left"/>
        <w:rPr>
          <w:rFonts w:cs="Traditional Arabic"/>
          <w:sz w:val="20"/>
          <w:szCs w:val="20"/>
        </w:rPr>
      </w:pPr>
    </w:p>
    <w:p w:rsidR="008C2889" w:rsidRPr="008C2889" w:rsidRDefault="008C2889" w:rsidP="008C2889">
      <w:pPr>
        <w:pStyle w:val="Title"/>
        <w:tabs>
          <w:tab w:val="right" w:pos="308"/>
        </w:tabs>
        <w:bidi w:val="0"/>
        <w:jc w:val="left"/>
        <w:rPr>
          <w:rFonts w:cs="Traditional Arabic"/>
          <w:sz w:val="20"/>
          <w:szCs w:val="20"/>
        </w:rPr>
      </w:pPr>
      <w:r>
        <w:rPr>
          <w:rFonts w:cs="Traditional Arabic"/>
          <w:sz w:val="20"/>
          <w:szCs w:val="20"/>
        </w:rPr>
        <w:t xml:space="preserve">25. </w:t>
      </w:r>
      <w:r w:rsidRPr="008C2889">
        <w:rPr>
          <w:rFonts w:cs="Traditional Arabic"/>
          <w:sz w:val="20"/>
          <w:szCs w:val="20"/>
        </w:rPr>
        <w:t xml:space="preserve">Finance and Insurance </w:t>
      </w:r>
    </w:p>
    <w:p w:rsidR="008C2889" w:rsidRPr="008C2889" w:rsidRDefault="008C2889" w:rsidP="008C2889">
      <w:pPr>
        <w:pStyle w:val="BodyText2"/>
        <w:numPr>
          <w:ilvl w:val="0"/>
          <w:numId w:val="2"/>
        </w:numPr>
        <w:overflowPunct/>
        <w:autoSpaceDE/>
        <w:autoSpaceDN/>
        <w:adjustRightInd/>
        <w:spacing w:after="120"/>
        <w:ind w:left="266" w:hanging="266"/>
        <w:textAlignment w:val="auto"/>
        <w:rPr>
          <w:noProof/>
        </w:rPr>
      </w:pPr>
      <w:r w:rsidRPr="008C2889">
        <w:rPr>
          <w:noProof/>
        </w:rPr>
        <w:t>There were 492 enterprises operating in financial intermediation activities in 2018.</w:t>
      </w:r>
      <w:r w:rsidRPr="008C2889" w:rsidDel="00F11EE2">
        <w:rPr>
          <w:noProof/>
        </w:rPr>
        <w:t xml:space="preserve"> </w:t>
      </w:r>
    </w:p>
    <w:p w:rsidR="008C2889" w:rsidRPr="008C2889" w:rsidRDefault="008C2889" w:rsidP="008C2889">
      <w:pPr>
        <w:pStyle w:val="BodyText2"/>
        <w:numPr>
          <w:ilvl w:val="0"/>
          <w:numId w:val="2"/>
        </w:numPr>
        <w:overflowPunct/>
        <w:autoSpaceDE/>
        <w:autoSpaceDN/>
        <w:adjustRightInd/>
        <w:spacing w:after="120"/>
        <w:ind w:left="266" w:hanging="266"/>
        <w:textAlignment w:val="auto"/>
        <w:rPr>
          <w:noProof/>
        </w:rPr>
      </w:pPr>
      <w:r w:rsidRPr="008C2889">
        <w:rPr>
          <w:noProof/>
        </w:rPr>
        <w:t xml:space="preserve">There were </w:t>
      </w:r>
      <w:r w:rsidRPr="008C2889">
        <w:rPr>
          <w:rFonts w:hint="cs"/>
          <w:noProof/>
          <w:rtl/>
        </w:rPr>
        <w:t>13</w:t>
      </w:r>
      <w:r w:rsidRPr="008C2889">
        <w:rPr>
          <w:noProof/>
        </w:rPr>
        <w:t>,</w:t>
      </w:r>
      <w:r w:rsidRPr="008C2889">
        <w:rPr>
          <w:rFonts w:hint="cs"/>
          <w:noProof/>
          <w:rtl/>
        </w:rPr>
        <w:t>396</w:t>
      </w:r>
      <w:r w:rsidRPr="008C2889">
        <w:rPr>
          <w:rFonts w:ascii="Arial" w:hAnsi="Arial" w:cs="Arial"/>
          <w:sz w:val="16"/>
          <w:szCs w:val="16"/>
        </w:rPr>
        <w:t xml:space="preserve">  </w:t>
      </w:r>
      <w:r w:rsidRPr="008C2889">
        <w:rPr>
          <w:noProof/>
        </w:rPr>
        <w:t>employed persons in financial intermediation enterprises in 2018.</w:t>
      </w:r>
    </w:p>
    <w:p w:rsidR="008C2889" w:rsidRPr="008C2889" w:rsidRDefault="008C2889" w:rsidP="008C2889">
      <w:pPr>
        <w:pStyle w:val="BodyText2"/>
        <w:numPr>
          <w:ilvl w:val="0"/>
          <w:numId w:val="2"/>
        </w:numPr>
        <w:overflowPunct/>
        <w:autoSpaceDE/>
        <w:autoSpaceDN/>
        <w:adjustRightInd/>
        <w:spacing w:after="120"/>
        <w:ind w:left="266" w:hanging="266"/>
        <w:textAlignment w:val="auto"/>
        <w:rPr>
          <w:noProof/>
        </w:rPr>
      </w:pPr>
      <w:r w:rsidRPr="008C2889">
        <w:rPr>
          <w:noProof/>
        </w:rPr>
        <w:t>The value of output in financial intermediation enterprises was USD 955.4 million in 2018.</w:t>
      </w:r>
    </w:p>
    <w:p w:rsidR="008C2889" w:rsidRPr="008C2889" w:rsidRDefault="008C2889" w:rsidP="008C2889">
      <w:pPr>
        <w:pStyle w:val="BodyText2"/>
        <w:numPr>
          <w:ilvl w:val="0"/>
          <w:numId w:val="2"/>
        </w:numPr>
        <w:overflowPunct/>
        <w:autoSpaceDE/>
        <w:autoSpaceDN/>
        <w:adjustRightInd/>
        <w:spacing w:after="120"/>
        <w:ind w:left="266" w:hanging="266"/>
        <w:textAlignment w:val="auto"/>
        <w:rPr>
          <w:noProof/>
        </w:rPr>
      </w:pPr>
      <w:r w:rsidRPr="008C2889">
        <w:rPr>
          <w:noProof/>
        </w:rPr>
        <w:t xml:space="preserve">The value of intermediate consumption in financial intermediation enterprises was USD 277.7 million in 2018. </w:t>
      </w:r>
    </w:p>
    <w:p w:rsidR="008C2889" w:rsidRPr="008C2889" w:rsidRDefault="008C2889" w:rsidP="008C2889">
      <w:pPr>
        <w:pStyle w:val="BodyText2"/>
        <w:numPr>
          <w:ilvl w:val="0"/>
          <w:numId w:val="2"/>
        </w:numPr>
        <w:overflowPunct/>
        <w:autoSpaceDE/>
        <w:autoSpaceDN/>
        <w:adjustRightInd/>
        <w:spacing w:after="120"/>
        <w:ind w:left="266" w:hanging="266"/>
        <w:textAlignment w:val="auto"/>
        <w:rPr>
          <w:noProof/>
        </w:rPr>
      </w:pPr>
      <w:r w:rsidRPr="008C2889">
        <w:rPr>
          <w:noProof/>
        </w:rPr>
        <w:t xml:space="preserve">The gross value added in financial intermediation enterprises was USD 677.7 million in 2018.  </w:t>
      </w:r>
    </w:p>
    <w:p w:rsidR="003936AC" w:rsidRPr="00325F4F" w:rsidRDefault="003936AC" w:rsidP="00240D0A">
      <w:pPr>
        <w:pStyle w:val="BodyText"/>
        <w:overflowPunct/>
        <w:autoSpaceDE/>
        <w:autoSpaceDN/>
        <w:adjustRightInd/>
        <w:ind w:left="360"/>
        <w:jc w:val="lowKashida"/>
        <w:textAlignment w:val="auto"/>
        <w:rPr>
          <w:sz w:val="10"/>
          <w:szCs w:val="10"/>
        </w:rPr>
      </w:pPr>
    </w:p>
    <w:p w:rsidR="00BC4685" w:rsidRPr="00325F4F" w:rsidRDefault="00BC4685"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on finance and insurance, see the tables in chapter </w:t>
      </w:r>
      <w:r w:rsidR="00EE63BF" w:rsidRPr="00325F4F">
        <w:rPr>
          <w:rFonts w:cs="Times New Roman"/>
          <w:b/>
          <w:bCs/>
          <w:i/>
          <w:iCs/>
          <w:sz w:val="18"/>
          <w:szCs w:val="18"/>
          <w:u w:val="single"/>
        </w:rPr>
        <w:t>1.25</w:t>
      </w:r>
      <w:r w:rsidRPr="00325F4F">
        <w:rPr>
          <w:rFonts w:cs="Times New Roman"/>
          <w:b/>
          <w:bCs/>
          <w:i/>
          <w:iCs/>
          <w:sz w:val="18"/>
          <w:szCs w:val="18"/>
          <w:u w:val="single"/>
        </w:rPr>
        <w:t xml:space="preserve"> of the Arabic section, pages</w:t>
      </w:r>
      <w:r w:rsidRPr="00325F4F">
        <w:rPr>
          <w:rFonts w:cs="Times New Roman"/>
          <w:b/>
          <w:bCs/>
          <w:i/>
          <w:iCs/>
          <w:sz w:val="18"/>
          <w:szCs w:val="18"/>
          <w:u w:val="single"/>
          <w:rtl/>
        </w:rPr>
        <w:t xml:space="preserve"> </w:t>
      </w:r>
      <w:r w:rsidR="00426EE0">
        <w:rPr>
          <w:rFonts w:cs="Times New Roman"/>
          <w:b/>
          <w:bCs/>
          <w:i/>
          <w:iCs/>
          <w:sz w:val="18"/>
          <w:szCs w:val="18"/>
          <w:u w:val="single"/>
        </w:rPr>
        <w:t>235</w:t>
      </w:r>
      <w:r w:rsidRPr="00325F4F">
        <w:rPr>
          <w:rFonts w:cs="Times New Roman"/>
          <w:b/>
          <w:bCs/>
          <w:i/>
          <w:iCs/>
          <w:sz w:val="18"/>
          <w:szCs w:val="18"/>
          <w:u w:val="single"/>
        </w:rPr>
        <w:t>-</w:t>
      </w:r>
      <w:r w:rsidR="00426EE0">
        <w:rPr>
          <w:rFonts w:cs="Times New Roman" w:hint="cs"/>
          <w:b/>
          <w:bCs/>
          <w:i/>
          <w:iCs/>
          <w:sz w:val="18"/>
          <w:szCs w:val="18"/>
          <w:u w:val="single"/>
          <w:rtl/>
        </w:rPr>
        <w:t>238</w:t>
      </w:r>
      <w:r w:rsidRPr="00325F4F">
        <w:rPr>
          <w:rFonts w:cs="Times New Roman"/>
          <w:b/>
          <w:bCs/>
          <w:i/>
          <w:iCs/>
          <w:sz w:val="18"/>
          <w:szCs w:val="18"/>
          <w:u w:val="single"/>
        </w:rPr>
        <w:t>.</w:t>
      </w:r>
    </w:p>
    <w:p w:rsidR="00B211DE" w:rsidRDefault="00B211DE" w:rsidP="005075F0">
      <w:pPr>
        <w:pStyle w:val="Title"/>
        <w:tabs>
          <w:tab w:val="right" w:pos="308"/>
        </w:tabs>
        <w:bidi w:val="0"/>
        <w:jc w:val="left"/>
        <w:rPr>
          <w:rFonts w:cs="Traditional Arabic"/>
          <w:sz w:val="20"/>
          <w:szCs w:val="20"/>
        </w:rPr>
      </w:pPr>
    </w:p>
    <w:p w:rsidR="00B211DE" w:rsidRDefault="00B211DE" w:rsidP="00B211DE">
      <w:pPr>
        <w:pStyle w:val="Title"/>
        <w:tabs>
          <w:tab w:val="right" w:pos="308"/>
        </w:tabs>
        <w:bidi w:val="0"/>
        <w:jc w:val="left"/>
        <w:rPr>
          <w:rFonts w:cs="Traditional Arabic"/>
          <w:sz w:val="20"/>
          <w:szCs w:val="20"/>
        </w:rPr>
      </w:pPr>
    </w:p>
    <w:p w:rsidR="00BC4685" w:rsidRPr="00325F4F" w:rsidRDefault="008C2889" w:rsidP="00B211DE">
      <w:pPr>
        <w:pStyle w:val="Title"/>
        <w:tabs>
          <w:tab w:val="right" w:pos="308"/>
        </w:tabs>
        <w:bidi w:val="0"/>
        <w:jc w:val="left"/>
        <w:rPr>
          <w:rFonts w:cs="Traditional Arabic"/>
          <w:sz w:val="20"/>
          <w:szCs w:val="20"/>
        </w:rPr>
      </w:pPr>
      <w:r>
        <w:rPr>
          <w:rFonts w:cs="Traditional Arabic"/>
          <w:sz w:val="20"/>
          <w:szCs w:val="20"/>
        </w:rPr>
        <w:lastRenderedPageBreak/>
        <w:t xml:space="preserve">26. </w:t>
      </w:r>
      <w:r w:rsidR="00495C6D" w:rsidRPr="00325F4F">
        <w:rPr>
          <w:rFonts w:cs="Traditional Arabic"/>
          <w:sz w:val="20"/>
          <w:szCs w:val="20"/>
        </w:rPr>
        <w:t>International</w:t>
      </w:r>
      <w:r w:rsidR="00BC4685" w:rsidRPr="00325F4F">
        <w:rPr>
          <w:rFonts w:cs="Traditional Arabic"/>
          <w:sz w:val="20"/>
          <w:szCs w:val="20"/>
        </w:rPr>
        <w:t xml:space="preserve"> Investment Position</w:t>
      </w:r>
    </w:p>
    <w:p w:rsidR="007D011D" w:rsidRPr="00325F4F" w:rsidRDefault="007D011D" w:rsidP="009F79F2">
      <w:pPr>
        <w:pStyle w:val="BodyText2"/>
        <w:numPr>
          <w:ilvl w:val="0"/>
          <w:numId w:val="2"/>
        </w:numPr>
        <w:overflowPunct/>
        <w:autoSpaceDE/>
        <w:autoSpaceDN/>
        <w:adjustRightInd/>
        <w:spacing w:after="120"/>
        <w:ind w:left="266" w:hanging="266"/>
        <w:textAlignment w:val="auto"/>
        <w:rPr>
          <w:noProof/>
        </w:rPr>
      </w:pPr>
      <w:r w:rsidRPr="00325F4F">
        <w:rPr>
          <w:noProof/>
        </w:rPr>
        <w:t>International Investment Position (external assets – foreign liabilities) for Palestine at the end of 2018 revealed that the net IIP amounted to about USD 1,588 million, which means that the Palestinian economy’s investments outside Palestine outweigh investments in Palestine from abroad.  The resident cash deposits in foreign banks and foreign exchange in the Palestinian economy accounted for the bulk of the external assets, constituting 59</w:t>
      </w:r>
      <w:r w:rsidR="00426EE0">
        <w:rPr>
          <w:noProof/>
        </w:rPr>
        <w:t>.</w:t>
      </w:r>
      <w:r w:rsidR="009F79F2">
        <w:rPr>
          <w:noProof/>
        </w:rPr>
        <w:t>0</w:t>
      </w:r>
      <w:r w:rsidRPr="00325F4F">
        <w:rPr>
          <w:noProof/>
        </w:rPr>
        <w:t>% of the total value of external assets.</w:t>
      </w:r>
    </w:p>
    <w:p w:rsidR="007D011D" w:rsidRPr="00325F4F" w:rsidRDefault="007D011D" w:rsidP="00426EE0">
      <w:pPr>
        <w:pStyle w:val="BodyText2"/>
        <w:numPr>
          <w:ilvl w:val="0"/>
          <w:numId w:val="2"/>
        </w:numPr>
        <w:overflowPunct/>
        <w:autoSpaceDE/>
        <w:autoSpaceDN/>
        <w:adjustRightInd/>
        <w:spacing w:after="120"/>
        <w:ind w:left="266" w:hanging="266"/>
        <w:textAlignment w:val="auto"/>
        <w:rPr>
          <w:noProof/>
        </w:rPr>
      </w:pPr>
      <w:r w:rsidRPr="00325F4F">
        <w:rPr>
          <w:noProof/>
        </w:rPr>
        <w:t>The total stocks of External Assets for Palestine amounted to USD 6,557 million, the Foreign Direct Investment abroad contributed to 5</w:t>
      </w:r>
      <w:r w:rsidR="00426EE0">
        <w:rPr>
          <w:noProof/>
        </w:rPr>
        <w:t>.0</w:t>
      </w:r>
      <w:r w:rsidRPr="00325F4F">
        <w:rPr>
          <w:noProof/>
        </w:rPr>
        <w:t xml:space="preserve">%, Portfolio Investments abroad reached </w:t>
      </w:r>
      <w:r w:rsidR="00426EE0">
        <w:rPr>
          <w:noProof/>
        </w:rPr>
        <w:t>21.7</w:t>
      </w:r>
      <w:r w:rsidRPr="00325F4F">
        <w:rPr>
          <w:noProof/>
        </w:rPr>
        <w:t>%, while Other Foreign Investments abroad (mainly currency and deposits) reached 65</w:t>
      </w:r>
      <w:r w:rsidR="00426EE0">
        <w:rPr>
          <w:noProof/>
        </w:rPr>
        <w:t>.1</w:t>
      </w:r>
      <w:r w:rsidRPr="00325F4F">
        <w:rPr>
          <w:noProof/>
        </w:rPr>
        <w:t>% and Reserve Assets amounted to 8</w:t>
      </w:r>
      <w:r w:rsidR="00426EE0">
        <w:rPr>
          <w:noProof/>
        </w:rPr>
        <w:t>.2</w:t>
      </w:r>
      <w:r w:rsidRPr="00325F4F">
        <w:rPr>
          <w:noProof/>
        </w:rPr>
        <w:t>%.  At sector level, the external investments of banks sector represented a large share of the external assets, standing at 70% of the total value of external assets.</w:t>
      </w:r>
    </w:p>
    <w:p w:rsidR="007D011D" w:rsidRPr="00325F4F" w:rsidRDefault="007D011D" w:rsidP="00481B9E">
      <w:pPr>
        <w:pStyle w:val="BodyText2"/>
        <w:numPr>
          <w:ilvl w:val="0"/>
          <w:numId w:val="2"/>
        </w:numPr>
        <w:overflowPunct/>
        <w:autoSpaceDE/>
        <w:autoSpaceDN/>
        <w:adjustRightInd/>
        <w:spacing w:after="120"/>
        <w:ind w:left="266" w:hanging="266"/>
        <w:textAlignment w:val="auto"/>
        <w:rPr>
          <w:noProof/>
        </w:rPr>
      </w:pPr>
      <w:r w:rsidRPr="00325F4F">
        <w:rPr>
          <w:noProof/>
        </w:rPr>
        <w:t>The total stocks of Foreign Liabilities in Palestine (Stocks of non-residents invested in Palestine) amounted to USD 4,969 million</w:t>
      </w:r>
      <w:r w:rsidR="00481B9E">
        <w:rPr>
          <w:noProof/>
        </w:rPr>
        <w:t>.</w:t>
      </w:r>
      <w:r w:rsidR="00481B9E" w:rsidRPr="00325F4F">
        <w:rPr>
          <w:noProof/>
        </w:rPr>
        <w:t xml:space="preserve"> </w:t>
      </w:r>
      <w:r w:rsidR="00481B9E">
        <w:rPr>
          <w:noProof/>
        </w:rPr>
        <w:t>T</w:t>
      </w:r>
      <w:r w:rsidR="00481B9E" w:rsidRPr="00325F4F">
        <w:rPr>
          <w:noProof/>
        </w:rPr>
        <w:t xml:space="preserve">he </w:t>
      </w:r>
      <w:r w:rsidRPr="00325F4F">
        <w:rPr>
          <w:noProof/>
        </w:rPr>
        <w:t>Foreign Direct Investment in Palestine contributed to 55</w:t>
      </w:r>
      <w:r w:rsidR="00426EE0">
        <w:rPr>
          <w:noProof/>
        </w:rPr>
        <w:t>.5</w:t>
      </w:r>
      <w:r w:rsidRPr="00325F4F">
        <w:rPr>
          <w:noProof/>
        </w:rPr>
        <w:t>%, Portfolio Investments in Palestine reached 1</w:t>
      </w:r>
      <w:r w:rsidR="00426EE0">
        <w:rPr>
          <w:noProof/>
        </w:rPr>
        <w:t>4.7</w:t>
      </w:r>
      <w:r w:rsidRPr="00325F4F">
        <w:rPr>
          <w:noProof/>
        </w:rPr>
        <w:t xml:space="preserve">% and Other Investments in Palestine (mainly loans and deposits from abroad) amounted to </w:t>
      </w:r>
      <w:r w:rsidR="00426EE0">
        <w:rPr>
          <w:noProof/>
        </w:rPr>
        <w:t>29.9</w:t>
      </w:r>
      <w:r w:rsidRPr="00325F4F">
        <w:rPr>
          <w:noProof/>
        </w:rPr>
        <w:t>%.  According to sectoral level, the foreign investments in banks sector contributed a major value in the foreign liabilities, represented by 35</w:t>
      </w:r>
      <w:r w:rsidR="00426EE0">
        <w:rPr>
          <w:noProof/>
        </w:rPr>
        <w:t>.0</w:t>
      </w:r>
      <w:r w:rsidRPr="00325F4F">
        <w:rPr>
          <w:noProof/>
        </w:rPr>
        <w:t>% of the total value of foreign liabilities on the Palestinian economy.</w:t>
      </w:r>
    </w:p>
    <w:p w:rsidR="007D011D" w:rsidRPr="00325F4F" w:rsidRDefault="007D011D" w:rsidP="00481B9E">
      <w:pPr>
        <w:pStyle w:val="BodyText2"/>
        <w:numPr>
          <w:ilvl w:val="0"/>
          <w:numId w:val="2"/>
        </w:numPr>
        <w:overflowPunct/>
        <w:autoSpaceDE/>
        <w:autoSpaceDN/>
        <w:adjustRightInd/>
        <w:spacing w:after="120"/>
        <w:ind w:left="266" w:hanging="266"/>
        <w:textAlignment w:val="auto"/>
        <w:rPr>
          <w:noProof/>
        </w:rPr>
      </w:pPr>
      <w:r w:rsidRPr="00325F4F">
        <w:rPr>
          <w:noProof/>
        </w:rPr>
        <w:t>The Gross External Debt on different sectors of the Palestinian economy reached USD 1,491 million</w:t>
      </w:r>
      <w:r w:rsidR="00481B9E">
        <w:rPr>
          <w:noProof/>
        </w:rPr>
        <w:t>.</w:t>
      </w:r>
      <w:r w:rsidR="00481B9E" w:rsidRPr="00325F4F">
        <w:rPr>
          <w:noProof/>
        </w:rPr>
        <w:t xml:space="preserve">  </w:t>
      </w:r>
      <w:r w:rsidR="00481B9E">
        <w:rPr>
          <w:noProof/>
        </w:rPr>
        <w:t>T</w:t>
      </w:r>
      <w:r w:rsidR="00481B9E" w:rsidRPr="00325F4F">
        <w:rPr>
          <w:noProof/>
        </w:rPr>
        <w:t xml:space="preserve">he </w:t>
      </w:r>
      <w:r w:rsidRPr="00325F4F">
        <w:rPr>
          <w:noProof/>
        </w:rPr>
        <w:t>debt on government sector represented 69%, while debt on banks sector reached 28%, and debt on other sectors (Nonbank financial corporations, non-financial corporations, NGOs and households sectors) amounted to 2</w:t>
      </w:r>
      <w:r w:rsidR="00426EE0">
        <w:rPr>
          <w:noProof/>
        </w:rPr>
        <w:t>.0</w:t>
      </w:r>
      <w:r w:rsidRPr="00325F4F">
        <w:rPr>
          <w:noProof/>
        </w:rPr>
        <w:t>%, and the lending between affiliated companies reached less than 1</w:t>
      </w:r>
      <w:r w:rsidR="00426EE0">
        <w:rPr>
          <w:noProof/>
        </w:rPr>
        <w:t>.0</w:t>
      </w:r>
      <w:r w:rsidRPr="00325F4F">
        <w:rPr>
          <w:noProof/>
        </w:rPr>
        <w:t>%.</w:t>
      </w:r>
    </w:p>
    <w:p w:rsidR="005779E5" w:rsidRPr="00325F4F" w:rsidRDefault="005779E5" w:rsidP="00AE7EAC">
      <w:pPr>
        <w:pStyle w:val="ListParagraph"/>
        <w:bidi w:val="0"/>
        <w:ind w:left="0"/>
        <w:jc w:val="lowKashida"/>
        <w:rPr>
          <w:rFonts w:cs="Times New Roman"/>
          <w:i/>
          <w:iCs/>
          <w:sz w:val="20"/>
          <w:u w:val="single"/>
        </w:rPr>
      </w:pPr>
    </w:p>
    <w:p w:rsidR="002977AC" w:rsidRPr="00325F4F" w:rsidRDefault="002977AC"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 xml:space="preserve">For more details </w:t>
      </w:r>
      <w:r w:rsidR="00EF03E1" w:rsidRPr="00325F4F">
        <w:rPr>
          <w:rFonts w:cs="Times New Roman"/>
          <w:b/>
          <w:bCs/>
          <w:i/>
          <w:iCs/>
          <w:sz w:val="18"/>
          <w:szCs w:val="18"/>
          <w:u w:val="single"/>
        </w:rPr>
        <w:t xml:space="preserve">on the </w:t>
      </w:r>
      <w:r w:rsidRPr="00325F4F">
        <w:rPr>
          <w:rFonts w:cs="Times New Roman"/>
          <w:b/>
          <w:bCs/>
          <w:i/>
          <w:iCs/>
          <w:sz w:val="18"/>
          <w:szCs w:val="18"/>
          <w:u w:val="single"/>
        </w:rPr>
        <w:t xml:space="preserve"> international investment position, see the table in chapter 1.2</w:t>
      </w:r>
      <w:r w:rsidR="005779E5" w:rsidRPr="00325F4F">
        <w:rPr>
          <w:rFonts w:cs="Times New Roman"/>
          <w:b/>
          <w:bCs/>
          <w:i/>
          <w:iCs/>
          <w:sz w:val="18"/>
          <w:szCs w:val="18"/>
          <w:u w:val="single"/>
        </w:rPr>
        <w:t>6</w:t>
      </w:r>
      <w:r w:rsidRPr="00325F4F">
        <w:rPr>
          <w:rFonts w:cs="Times New Roman"/>
          <w:b/>
          <w:bCs/>
          <w:i/>
          <w:iCs/>
          <w:sz w:val="18"/>
          <w:szCs w:val="18"/>
          <w:u w:val="single"/>
        </w:rPr>
        <w:t xml:space="preserve"> of the Arabic section, pages</w:t>
      </w:r>
      <w:r w:rsidRPr="00325F4F">
        <w:rPr>
          <w:rFonts w:cs="Times New Roman"/>
          <w:b/>
          <w:bCs/>
          <w:i/>
          <w:iCs/>
          <w:noProof w:val="0"/>
          <w:sz w:val="18"/>
          <w:szCs w:val="18"/>
          <w:u w:val="single"/>
          <w:rtl/>
        </w:rPr>
        <w:t xml:space="preserve"> </w:t>
      </w:r>
      <w:r w:rsidR="00426EE0">
        <w:rPr>
          <w:rFonts w:cs="Times New Roman"/>
          <w:b/>
          <w:bCs/>
          <w:i/>
          <w:iCs/>
          <w:sz w:val="18"/>
          <w:szCs w:val="18"/>
          <w:u w:val="single"/>
        </w:rPr>
        <w:t>239</w:t>
      </w:r>
      <w:r w:rsidR="00546837" w:rsidRPr="00325F4F">
        <w:rPr>
          <w:rFonts w:cs="Times New Roman"/>
          <w:b/>
          <w:bCs/>
          <w:i/>
          <w:iCs/>
          <w:sz w:val="18"/>
          <w:szCs w:val="18"/>
          <w:u w:val="single"/>
        </w:rPr>
        <w:t>-</w:t>
      </w:r>
      <w:r w:rsidR="00426EE0">
        <w:rPr>
          <w:rFonts w:cs="Times New Roman"/>
          <w:b/>
          <w:bCs/>
          <w:i/>
          <w:iCs/>
          <w:sz w:val="18"/>
          <w:szCs w:val="18"/>
          <w:u w:val="single"/>
        </w:rPr>
        <w:t>242</w:t>
      </w:r>
    </w:p>
    <w:p w:rsidR="002977AC" w:rsidRPr="00325F4F" w:rsidRDefault="002977AC" w:rsidP="002977AC">
      <w:pPr>
        <w:pStyle w:val="Title"/>
        <w:bidi w:val="0"/>
        <w:ind w:left="98"/>
        <w:jc w:val="left"/>
        <w:rPr>
          <w:rFonts w:cs="Times New Roman"/>
          <w:i/>
          <w:iCs/>
          <w:sz w:val="20"/>
          <w:u w:val="single"/>
        </w:rPr>
      </w:pPr>
    </w:p>
    <w:p w:rsidR="00DE3043" w:rsidRPr="00325F4F" w:rsidRDefault="00B20D22" w:rsidP="009E661E">
      <w:pPr>
        <w:overflowPunct/>
        <w:autoSpaceDE/>
        <w:autoSpaceDN/>
        <w:adjustRightInd/>
        <w:textAlignment w:val="auto"/>
        <w:rPr>
          <w:rFonts w:cs="Simplified Arabic"/>
          <w:noProof/>
          <w:sz w:val="24"/>
          <w:szCs w:val="24"/>
        </w:rPr>
      </w:pPr>
      <w:r w:rsidRPr="00325F4F">
        <w:rPr>
          <w:szCs w:val="24"/>
        </w:rPr>
        <w:br w:type="page"/>
      </w:r>
    </w:p>
    <w:p w:rsidR="003A59C1" w:rsidRPr="00325F4F" w:rsidRDefault="007E5F1A" w:rsidP="003A59C1">
      <w:pPr>
        <w:pStyle w:val="Title"/>
        <w:bidi w:val="0"/>
        <w:rPr>
          <w:szCs w:val="24"/>
        </w:rPr>
      </w:pPr>
      <w:r>
        <w:rPr>
          <w:szCs w:val="24"/>
        </w:rPr>
        <w:lastRenderedPageBreak/>
        <w:pict>
          <v:rect id="_x0000_s1028" style="position:absolute;left:0;text-align:left;margin-left:325pt;margin-top:-4.65pt;width:42pt;height:24pt;z-index:251655168">
            <v:textbox style="mso-next-textbox:#_x0000_s1028">
              <w:txbxContent>
                <w:p w:rsidR="008832A6" w:rsidRDefault="008832A6" w:rsidP="003C6F02">
                  <w:pPr>
                    <w:jc w:val="center"/>
                    <w:rPr>
                      <w:b/>
                      <w:bCs/>
                      <w:sz w:val="28"/>
                      <w:szCs w:val="28"/>
                    </w:rPr>
                  </w:pPr>
                  <w:r>
                    <w:rPr>
                      <w:sz w:val="28"/>
                    </w:rPr>
                    <w:t>2.1</w:t>
                  </w:r>
                </w:p>
              </w:txbxContent>
            </v:textbox>
          </v:rect>
        </w:pict>
      </w:r>
      <w:r w:rsidR="00310AD8" w:rsidRPr="00325F4F">
        <w:rPr>
          <w:szCs w:val="24"/>
        </w:rPr>
        <w:t xml:space="preserve"> Palestinians in the </w:t>
      </w:r>
      <w:r w:rsidR="003A59C1" w:rsidRPr="00325F4F">
        <w:rPr>
          <w:szCs w:val="24"/>
        </w:rPr>
        <w:t xml:space="preserve">Occupied Palestinian </w:t>
      </w:r>
    </w:p>
    <w:p w:rsidR="00DC67CE" w:rsidRPr="00325F4F" w:rsidRDefault="003A59C1" w:rsidP="003A59C1">
      <w:pPr>
        <w:pStyle w:val="Title"/>
        <w:bidi w:val="0"/>
        <w:rPr>
          <w:szCs w:val="24"/>
        </w:rPr>
      </w:pPr>
      <w:r w:rsidRPr="00325F4F">
        <w:rPr>
          <w:szCs w:val="24"/>
        </w:rPr>
        <w:t xml:space="preserve">Territory </w:t>
      </w:r>
      <w:r w:rsidR="00310AD8" w:rsidRPr="00325F4F">
        <w:rPr>
          <w:szCs w:val="24"/>
        </w:rPr>
        <w:t>in 1948</w:t>
      </w:r>
    </w:p>
    <w:p w:rsidR="00C9334E" w:rsidRPr="00325F4F" w:rsidRDefault="00C9334E" w:rsidP="00C9334E">
      <w:pPr>
        <w:pStyle w:val="BodyText"/>
        <w:jc w:val="lowKashida"/>
        <w:rPr>
          <w:sz w:val="24"/>
          <w:szCs w:val="24"/>
        </w:rPr>
      </w:pPr>
    </w:p>
    <w:p w:rsidR="00C9334E" w:rsidRPr="00325F4F" w:rsidRDefault="00C9334E" w:rsidP="00AA587F">
      <w:pPr>
        <w:pStyle w:val="BodyText"/>
        <w:jc w:val="lowKashida"/>
      </w:pPr>
      <w:r w:rsidRPr="00325F4F">
        <w:t>Palestine Catastrophe (</w:t>
      </w:r>
      <w:proofErr w:type="spellStart"/>
      <w:r w:rsidRPr="00325F4F">
        <w:t>Nakba</w:t>
      </w:r>
      <w:proofErr w:type="spellEnd"/>
      <w:r w:rsidRPr="00325F4F">
        <w:t xml:space="preserve">) of 1948 resulted in the occupation of more than three quarters of Palestine. Thus, Israel was established on that part of Palestine occupied in 1948, </w:t>
      </w:r>
      <w:r w:rsidR="006B1447" w:rsidRPr="00325F4F">
        <w:t xml:space="preserve">which represents </w:t>
      </w:r>
      <w:r w:rsidRPr="00325F4F">
        <w:t xml:space="preserve">78% of historical Palestine. The Palestinian population who remained in their homeland came under direct and complete Israeli sovereignty.  They were considered Israeli citizens and </w:t>
      </w:r>
      <w:r w:rsidR="00AA587F" w:rsidRPr="00325F4F">
        <w:t xml:space="preserve">were </w:t>
      </w:r>
      <w:r w:rsidRPr="00325F4F">
        <w:t xml:space="preserve">subject to various policies and practices that sought to obliterate the Palestinian identity and culture. </w:t>
      </w:r>
    </w:p>
    <w:p w:rsidR="00C9334E" w:rsidRPr="00325F4F" w:rsidRDefault="00C9334E" w:rsidP="00C9334E">
      <w:pPr>
        <w:jc w:val="lowKashida"/>
        <w:rPr>
          <w:sz w:val="10"/>
          <w:szCs w:val="10"/>
        </w:rPr>
      </w:pPr>
    </w:p>
    <w:p w:rsidR="00C9334E" w:rsidRPr="00325F4F" w:rsidRDefault="00C9334E" w:rsidP="00C9334E">
      <w:pPr>
        <w:jc w:val="lowKashida"/>
      </w:pPr>
      <w:r w:rsidRPr="00325F4F">
        <w:t>Statistically speaking, all data on Palestinians living in this part of historical Palestine occupied in 1948 were considered part of the Israeli statistical system. Thus, all Israeli statistical issues and publications include data on the Palestinian population.</w:t>
      </w:r>
    </w:p>
    <w:p w:rsidR="00C9334E" w:rsidRPr="00325F4F" w:rsidRDefault="00C9334E" w:rsidP="00C9334E">
      <w:pPr>
        <w:jc w:val="lowKashida"/>
        <w:rPr>
          <w:sz w:val="10"/>
          <w:szCs w:val="10"/>
        </w:rPr>
      </w:pPr>
      <w:r w:rsidRPr="00325F4F">
        <w:rPr>
          <w:sz w:val="10"/>
          <w:szCs w:val="10"/>
        </w:rPr>
        <w:t xml:space="preserve"> </w:t>
      </w:r>
    </w:p>
    <w:p w:rsidR="00C9334E" w:rsidRPr="00325F4F" w:rsidRDefault="00C9334E" w:rsidP="003936AC">
      <w:pPr>
        <w:jc w:val="lowKashida"/>
      </w:pPr>
      <w:r w:rsidRPr="00325F4F">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C9334E" w:rsidRPr="00325F4F" w:rsidRDefault="00C9334E" w:rsidP="00C9334E">
      <w:pPr>
        <w:jc w:val="lowKashida"/>
        <w:rPr>
          <w:sz w:val="10"/>
          <w:szCs w:val="10"/>
        </w:rPr>
      </w:pPr>
    </w:p>
    <w:p w:rsidR="00C9334E" w:rsidRPr="00325F4F" w:rsidRDefault="00C9334E" w:rsidP="00C9334E">
      <w:pPr>
        <w:jc w:val="lowKashida"/>
      </w:pPr>
      <w:r w:rsidRPr="00325F4F">
        <w:t>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refers to revision and modification as in its sources.</w:t>
      </w:r>
    </w:p>
    <w:p w:rsidR="00112829" w:rsidRPr="00325F4F" w:rsidRDefault="00112829" w:rsidP="00C9334E">
      <w:pPr>
        <w:jc w:val="lowKashida"/>
      </w:pPr>
    </w:p>
    <w:p w:rsidR="00112829" w:rsidRPr="00325F4F" w:rsidRDefault="00112829" w:rsidP="00112829">
      <w:pPr>
        <w:jc w:val="lowKashida"/>
      </w:pPr>
      <w:r w:rsidRPr="00325F4F">
        <w:t>The data of this chapter does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325F4F">
        <w:rPr>
          <w:rtl/>
        </w:rPr>
        <w:t xml:space="preserve"> .</w:t>
      </w:r>
    </w:p>
    <w:p w:rsidR="005779E5" w:rsidRPr="00325F4F" w:rsidRDefault="005779E5" w:rsidP="00C9334E">
      <w:pPr>
        <w:jc w:val="both"/>
        <w:rPr>
          <w:b/>
          <w:bCs/>
        </w:rPr>
      </w:pPr>
      <w:bookmarkStart w:id="1" w:name="OLE_LINK3"/>
    </w:p>
    <w:p w:rsidR="00C9334E" w:rsidRPr="00325F4F" w:rsidRDefault="00C9334E" w:rsidP="00C9334E">
      <w:pPr>
        <w:jc w:val="both"/>
        <w:rPr>
          <w:b/>
          <w:bCs/>
        </w:rPr>
      </w:pPr>
      <w:r w:rsidRPr="00325F4F">
        <w:rPr>
          <w:b/>
          <w:bCs/>
        </w:rPr>
        <w:t xml:space="preserve">Population: </w:t>
      </w:r>
    </w:p>
    <w:bookmarkEnd w:id="1"/>
    <w:p w:rsidR="00731202" w:rsidRPr="00325F4F" w:rsidRDefault="00A024A9" w:rsidP="00426EE0">
      <w:pPr>
        <w:numPr>
          <w:ilvl w:val="0"/>
          <w:numId w:val="1"/>
        </w:numPr>
        <w:ind w:left="714" w:hanging="350"/>
        <w:jc w:val="both"/>
        <w:rPr>
          <w:noProof/>
        </w:rPr>
      </w:pPr>
      <w:r w:rsidRPr="00325F4F">
        <w:rPr>
          <w:noProof/>
        </w:rPr>
        <w:t xml:space="preserve">The total population of </w:t>
      </w:r>
      <w:r w:rsidR="008A511C" w:rsidRPr="00325F4F">
        <w:rPr>
          <w:noProof/>
        </w:rPr>
        <w:t xml:space="preserve">those </w:t>
      </w:r>
      <w:r w:rsidRPr="00325F4F">
        <w:rPr>
          <w:noProof/>
        </w:rPr>
        <w:t xml:space="preserve">areas at the end of </w:t>
      </w:r>
      <w:r w:rsidR="00426EE0">
        <w:rPr>
          <w:noProof/>
        </w:rPr>
        <w:t>2018</w:t>
      </w:r>
      <w:r w:rsidRPr="00325F4F">
        <w:rPr>
          <w:noProof/>
        </w:rPr>
        <w:t xml:space="preserve"> was 1.</w:t>
      </w:r>
      <w:r w:rsidR="0099094B" w:rsidRPr="00325F4F">
        <w:rPr>
          <w:noProof/>
        </w:rPr>
        <w:t>4</w:t>
      </w:r>
      <w:r w:rsidR="00426EE0">
        <w:rPr>
          <w:noProof/>
        </w:rPr>
        <w:t>83</w:t>
      </w:r>
      <w:r w:rsidRPr="00325F4F">
        <w:rPr>
          <w:noProof/>
        </w:rPr>
        <w:t xml:space="preserve"> million (excluding the residents of occupied East Jerusalem and the Golan Heights).</w:t>
      </w:r>
    </w:p>
    <w:p w:rsidR="00731202" w:rsidRPr="00325F4F" w:rsidRDefault="00731202" w:rsidP="00426EE0">
      <w:pPr>
        <w:numPr>
          <w:ilvl w:val="0"/>
          <w:numId w:val="1"/>
        </w:numPr>
        <w:ind w:left="714" w:hanging="350"/>
        <w:jc w:val="both"/>
        <w:rPr>
          <w:noProof/>
        </w:rPr>
      </w:pPr>
      <w:r w:rsidRPr="00325F4F">
        <w:rPr>
          <w:noProof/>
        </w:rPr>
        <w:t xml:space="preserve">The total fertility rate for Palestinian women during </w:t>
      </w:r>
      <w:r w:rsidR="00426EE0">
        <w:rPr>
          <w:noProof/>
        </w:rPr>
        <w:t>2018</w:t>
      </w:r>
      <w:r w:rsidRPr="00325F4F">
        <w:rPr>
          <w:noProof/>
        </w:rPr>
        <w:t xml:space="preserve"> was 3.</w:t>
      </w:r>
      <w:r w:rsidR="00426EE0">
        <w:rPr>
          <w:noProof/>
        </w:rPr>
        <w:t>0</w:t>
      </w:r>
      <w:r w:rsidR="002A1227" w:rsidRPr="00325F4F">
        <w:rPr>
          <w:noProof/>
        </w:rPr>
        <w:t>4</w:t>
      </w:r>
      <w:r w:rsidRPr="00325F4F">
        <w:rPr>
          <w:noProof/>
        </w:rPr>
        <w:t xml:space="preserve"> births.</w:t>
      </w:r>
    </w:p>
    <w:p w:rsidR="000414D0" w:rsidRPr="00325F4F" w:rsidRDefault="000414D0" w:rsidP="00426EE0">
      <w:pPr>
        <w:numPr>
          <w:ilvl w:val="0"/>
          <w:numId w:val="1"/>
        </w:numPr>
        <w:ind w:left="714" w:hanging="350"/>
        <w:jc w:val="both"/>
        <w:rPr>
          <w:noProof/>
        </w:rPr>
      </w:pPr>
      <w:r w:rsidRPr="00325F4F">
        <w:rPr>
          <w:noProof/>
        </w:rPr>
        <w:t xml:space="preserve">The average size of </w:t>
      </w:r>
      <w:r w:rsidR="003936AC" w:rsidRPr="00325F4F">
        <w:rPr>
          <w:noProof/>
        </w:rPr>
        <w:t xml:space="preserve">the </w:t>
      </w:r>
      <w:r w:rsidRPr="00325F4F">
        <w:rPr>
          <w:noProof/>
        </w:rPr>
        <w:t xml:space="preserve">Palestinian household was 4.5 persons in </w:t>
      </w:r>
      <w:r w:rsidR="00426EE0">
        <w:rPr>
          <w:noProof/>
        </w:rPr>
        <w:t>2018</w:t>
      </w:r>
      <w:r w:rsidRPr="00325F4F">
        <w:rPr>
          <w:noProof/>
        </w:rPr>
        <w:t>.</w:t>
      </w:r>
    </w:p>
    <w:p w:rsidR="00A024A9" w:rsidRPr="00325F4F" w:rsidRDefault="00731202" w:rsidP="00731202">
      <w:pPr>
        <w:jc w:val="both"/>
        <w:rPr>
          <w:b/>
          <w:bCs/>
        </w:rPr>
      </w:pPr>
      <w:r w:rsidRPr="00325F4F">
        <w:rPr>
          <w:b/>
          <w:bCs/>
        </w:rPr>
        <w:t xml:space="preserve">Housing and Housing Conditions: </w:t>
      </w:r>
      <w:r w:rsidR="00A024A9" w:rsidRPr="00325F4F">
        <w:rPr>
          <w:b/>
          <w:bCs/>
        </w:rPr>
        <w:t xml:space="preserve"> </w:t>
      </w:r>
    </w:p>
    <w:p w:rsidR="00D6199C" w:rsidRPr="00325F4F" w:rsidRDefault="009132EC" w:rsidP="008A511C">
      <w:pPr>
        <w:numPr>
          <w:ilvl w:val="0"/>
          <w:numId w:val="1"/>
        </w:numPr>
        <w:ind w:left="714" w:hanging="350"/>
        <w:jc w:val="both"/>
        <w:rPr>
          <w:noProof/>
        </w:rPr>
      </w:pPr>
      <w:r w:rsidRPr="00325F4F">
        <w:rPr>
          <w:noProof/>
        </w:rPr>
        <w:t>90.3</w:t>
      </w:r>
      <w:r w:rsidR="00D6199C" w:rsidRPr="00325F4F">
        <w:rPr>
          <w:noProof/>
        </w:rPr>
        <w:t xml:space="preserve">% of Palestinian households </w:t>
      </w:r>
      <w:r w:rsidR="008A511C" w:rsidRPr="00325F4F">
        <w:rPr>
          <w:noProof/>
        </w:rPr>
        <w:t xml:space="preserve">in </w:t>
      </w:r>
      <w:r w:rsidRPr="00325F4F">
        <w:rPr>
          <w:noProof/>
        </w:rPr>
        <w:t>2017</w:t>
      </w:r>
      <w:r w:rsidR="00D6199C" w:rsidRPr="00325F4F">
        <w:rPr>
          <w:noProof/>
        </w:rPr>
        <w:t xml:space="preserve"> owned the housing unit they  lived in.</w:t>
      </w:r>
    </w:p>
    <w:p w:rsidR="00D6199C" w:rsidRPr="00325F4F" w:rsidRDefault="009132EC" w:rsidP="00426EE0">
      <w:pPr>
        <w:numPr>
          <w:ilvl w:val="0"/>
          <w:numId w:val="1"/>
        </w:numPr>
        <w:ind w:left="714" w:hanging="350"/>
        <w:jc w:val="both"/>
        <w:rPr>
          <w:noProof/>
        </w:rPr>
      </w:pPr>
      <w:r w:rsidRPr="00325F4F">
        <w:rPr>
          <w:noProof/>
        </w:rPr>
        <w:t>5</w:t>
      </w:r>
      <w:r w:rsidR="00426EE0">
        <w:rPr>
          <w:noProof/>
        </w:rPr>
        <w:t>0.3</w:t>
      </w:r>
      <w:r w:rsidR="00D6199C" w:rsidRPr="00325F4F">
        <w:rPr>
          <w:noProof/>
        </w:rPr>
        <w:t xml:space="preserve">% of Palestinian households lives in a house in </w:t>
      </w:r>
      <w:r w:rsidR="00426EE0">
        <w:rPr>
          <w:noProof/>
        </w:rPr>
        <w:t>2018</w:t>
      </w:r>
      <w:r w:rsidR="00D6199C" w:rsidRPr="00325F4F">
        <w:rPr>
          <w:noProof/>
        </w:rPr>
        <w:t>.</w:t>
      </w:r>
    </w:p>
    <w:p w:rsidR="009A2628" w:rsidRPr="00325F4F" w:rsidRDefault="00D6199C" w:rsidP="00806800">
      <w:pPr>
        <w:numPr>
          <w:ilvl w:val="0"/>
          <w:numId w:val="1"/>
        </w:numPr>
        <w:ind w:left="714" w:hanging="350"/>
        <w:jc w:val="both"/>
        <w:rPr>
          <w:b/>
          <w:bCs/>
        </w:rPr>
      </w:pPr>
      <w:r w:rsidRPr="00325F4F">
        <w:rPr>
          <w:noProof/>
        </w:rPr>
        <w:t xml:space="preserve">The average housing density was </w:t>
      </w:r>
      <w:r w:rsidR="00806800" w:rsidRPr="00325F4F">
        <w:rPr>
          <w:noProof/>
        </w:rPr>
        <w:t>1</w:t>
      </w:r>
      <w:r w:rsidRPr="00325F4F">
        <w:rPr>
          <w:noProof/>
        </w:rPr>
        <w:t>.</w:t>
      </w:r>
      <w:r w:rsidR="00806800" w:rsidRPr="00325F4F">
        <w:rPr>
          <w:noProof/>
        </w:rPr>
        <w:t>25</w:t>
      </w:r>
      <w:r w:rsidRPr="00325F4F">
        <w:rPr>
          <w:noProof/>
        </w:rPr>
        <w:t xml:space="preserve"> persons per room in </w:t>
      </w:r>
      <w:r w:rsidR="00806800" w:rsidRPr="00325F4F">
        <w:rPr>
          <w:noProof/>
        </w:rPr>
        <w:t>2017</w:t>
      </w:r>
      <w:r w:rsidR="009A2EFA" w:rsidRPr="00325F4F">
        <w:rPr>
          <w:noProof/>
        </w:rPr>
        <w:t>.</w:t>
      </w:r>
      <w:r w:rsidRPr="00325F4F">
        <w:rPr>
          <w:noProof/>
        </w:rPr>
        <w:t xml:space="preserve"> </w:t>
      </w:r>
      <w:r w:rsidR="009A2628" w:rsidRPr="00325F4F">
        <w:rPr>
          <w:noProof/>
        </w:rPr>
        <w:t xml:space="preserve"> </w:t>
      </w:r>
    </w:p>
    <w:p w:rsidR="006B30B7" w:rsidRPr="00325F4F" w:rsidRDefault="006B30B7" w:rsidP="009A2628">
      <w:pPr>
        <w:jc w:val="both"/>
        <w:rPr>
          <w:b/>
          <w:bCs/>
        </w:rPr>
      </w:pPr>
    </w:p>
    <w:p w:rsidR="006B30B7" w:rsidRPr="00325F4F" w:rsidRDefault="006B30B7" w:rsidP="006B30B7">
      <w:pPr>
        <w:jc w:val="both"/>
        <w:rPr>
          <w:b/>
          <w:bCs/>
        </w:rPr>
      </w:pPr>
      <w:r w:rsidRPr="00325F4F">
        <w:rPr>
          <w:b/>
          <w:bCs/>
        </w:rPr>
        <w:t>Living Standards</w:t>
      </w:r>
      <w:r w:rsidR="00071EE2" w:rsidRPr="00325F4F">
        <w:rPr>
          <w:b/>
          <w:bCs/>
        </w:rPr>
        <w:t>:</w:t>
      </w:r>
    </w:p>
    <w:p w:rsidR="006B30B7" w:rsidRPr="00325F4F" w:rsidRDefault="006B30B7" w:rsidP="006B30B7">
      <w:pPr>
        <w:numPr>
          <w:ilvl w:val="0"/>
          <w:numId w:val="1"/>
        </w:numPr>
        <w:ind w:left="714" w:hanging="350"/>
        <w:jc w:val="both"/>
        <w:rPr>
          <w:noProof/>
        </w:rPr>
      </w:pPr>
      <w:r w:rsidRPr="00325F4F">
        <w:rPr>
          <w:rFonts w:hint="cs"/>
          <w:noProof/>
          <w:rtl/>
        </w:rPr>
        <w:t>56.8%</w:t>
      </w:r>
      <w:r w:rsidRPr="00325F4F">
        <w:rPr>
          <w:noProof/>
          <w:rtl/>
        </w:rPr>
        <w:t xml:space="preserve"> </w:t>
      </w:r>
      <w:r w:rsidRPr="00325F4F">
        <w:rPr>
          <w:noProof/>
        </w:rPr>
        <w:t xml:space="preserve"> of the Palestinian households in the occupied Palestinian territories in 1948 depend on wages and salaries as their source of income during the year 2017.</w:t>
      </w:r>
    </w:p>
    <w:p w:rsidR="006B30B7" w:rsidRPr="00325F4F" w:rsidRDefault="006B30B7" w:rsidP="006B30B7">
      <w:pPr>
        <w:numPr>
          <w:ilvl w:val="0"/>
          <w:numId w:val="1"/>
        </w:numPr>
        <w:ind w:left="714" w:hanging="350"/>
        <w:jc w:val="both"/>
        <w:rPr>
          <w:b/>
          <w:bCs/>
        </w:rPr>
      </w:pPr>
      <w:r w:rsidRPr="00325F4F">
        <w:rPr>
          <w:rFonts w:hint="cs"/>
          <w:noProof/>
          <w:rtl/>
        </w:rPr>
        <w:t xml:space="preserve">14.9% </w:t>
      </w:r>
      <w:r w:rsidRPr="00325F4F">
        <w:rPr>
          <w:noProof/>
        </w:rPr>
        <w:t xml:space="preserve"> of the Palestinian households in the occupied Palestinian territories in 1948 consider economic projects for the family as a main source of incom</w:t>
      </w:r>
      <w:r w:rsidR="00257689">
        <w:rPr>
          <w:noProof/>
        </w:rPr>
        <w:t>e</w:t>
      </w:r>
      <w:r w:rsidRPr="00325F4F">
        <w:rPr>
          <w:noProof/>
        </w:rPr>
        <w:t>.</w:t>
      </w:r>
    </w:p>
    <w:p w:rsidR="00850EF9" w:rsidRDefault="00850EF9" w:rsidP="009A2628">
      <w:pPr>
        <w:jc w:val="both"/>
        <w:rPr>
          <w:b/>
          <w:bCs/>
        </w:rPr>
      </w:pPr>
    </w:p>
    <w:p w:rsidR="00C9334E" w:rsidRPr="00325F4F" w:rsidRDefault="00C9334E" w:rsidP="009A2628">
      <w:pPr>
        <w:jc w:val="both"/>
        <w:rPr>
          <w:b/>
          <w:bCs/>
        </w:rPr>
      </w:pPr>
      <w:r w:rsidRPr="00325F4F">
        <w:rPr>
          <w:b/>
          <w:bCs/>
        </w:rPr>
        <w:lastRenderedPageBreak/>
        <w:t xml:space="preserve">Education: </w:t>
      </w:r>
    </w:p>
    <w:p w:rsidR="00F70417" w:rsidRPr="00325F4F" w:rsidRDefault="00F70417" w:rsidP="00A15515">
      <w:pPr>
        <w:numPr>
          <w:ilvl w:val="0"/>
          <w:numId w:val="1"/>
        </w:numPr>
        <w:ind w:left="714" w:hanging="350"/>
        <w:jc w:val="both"/>
        <w:rPr>
          <w:noProof/>
        </w:rPr>
      </w:pPr>
      <w:r w:rsidRPr="00325F4F">
        <w:rPr>
          <w:noProof/>
        </w:rPr>
        <w:t xml:space="preserve">There were </w:t>
      </w:r>
      <w:r w:rsidR="009A2628" w:rsidRPr="00325F4F">
        <w:rPr>
          <w:noProof/>
        </w:rPr>
        <w:t>6</w:t>
      </w:r>
      <w:r w:rsidR="00426EE0">
        <w:rPr>
          <w:noProof/>
        </w:rPr>
        <w:t>54</w:t>
      </w:r>
      <w:r w:rsidRPr="00325F4F">
        <w:rPr>
          <w:noProof/>
        </w:rPr>
        <w:t xml:space="preserve"> schools, including </w:t>
      </w:r>
      <w:r w:rsidR="009A2628" w:rsidRPr="00325F4F">
        <w:rPr>
          <w:noProof/>
        </w:rPr>
        <w:t>5</w:t>
      </w:r>
      <w:r w:rsidR="00426EE0">
        <w:rPr>
          <w:noProof/>
        </w:rPr>
        <w:t>74</w:t>
      </w:r>
      <w:r w:rsidRPr="00325F4F">
        <w:rPr>
          <w:noProof/>
        </w:rPr>
        <w:t xml:space="preserve"> primary schools</w:t>
      </w:r>
      <w:r w:rsidR="003936AC" w:rsidRPr="00325F4F">
        <w:rPr>
          <w:noProof/>
        </w:rPr>
        <w:t xml:space="preserve"> and </w:t>
      </w:r>
      <w:r w:rsidR="00806800" w:rsidRPr="00325F4F">
        <w:rPr>
          <w:noProof/>
        </w:rPr>
        <w:t xml:space="preserve">80 </w:t>
      </w:r>
      <w:r w:rsidRPr="00325F4F">
        <w:rPr>
          <w:noProof/>
        </w:rPr>
        <w:t xml:space="preserve">schools for children with special needs, </w:t>
      </w:r>
      <w:r w:rsidR="00806800" w:rsidRPr="00325F4F">
        <w:rPr>
          <w:noProof/>
        </w:rPr>
        <w:t>21</w:t>
      </w:r>
      <w:r w:rsidR="00426EE0">
        <w:rPr>
          <w:noProof/>
        </w:rPr>
        <w:t>9</w:t>
      </w:r>
      <w:r w:rsidRPr="00325F4F">
        <w:rPr>
          <w:noProof/>
        </w:rPr>
        <w:t xml:space="preserve"> intermediate schools and </w:t>
      </w:r>
      <w:r w:rsidR="00F540A9" w:rsidRPr="00325F4F">
        <w:rPr>
          <w:noProof/>
        </w:rPr>
        <w:t>3</w:t>
      </w:r>
      <w:r w:rsidR="00426EE0">
        <w:rPr>
          <w:noProof/>
        </w:rPr>
        <w:t>85</w:t>
      </w:r>
      <w:r w:rsidRPr="00325F4F">
        <w:rPr>
          <w:noProof/>
        </w:rPr>
        <w:t xml:space="preserve"> secondary schools</w:t>
      </w:r>
      <w:r w:rsidR="009A2628" w:rsidRPr="00325F4F">
        <w:rPr>
          <w:noProof/>
        </w:rPr>
        <w:t xml:space="preserve"> in </w:t>
      </w:r>
      <w:r w:rsidR="00426EE0">
        <w:rPr>
          <w:noProof/>
        </w:rPr>
        <w:t>2018</w:t>
      </w:r>
      <w:r w:rsidR="009A2628" w:rsidRPr="00325F4F">
        <w:rPr>
          <w:noProof/>
        </w:rPr>
        <w:t>/</w:t>
      </w:r>
      <w:r w:rsidR="00426EE0">
        <w:rPr>
          <w:noProof/>
        </w:rPr>
        <w:t>2019</w:t>
      </w:r>
      <w:r w:rsidRPr="00325F4F">
        <w:rPr>
          <w:noProof/>
        </w:rPr>
        <w:t>.</w:t>
      </w:r>
    </w:p>
    <w:p w:rsidR="00C54A6C" w:rsidRPr="00325F4F" w:rsidRDefault="00C54A6C" w:rsidP="00C54A6C">
      <w:pPr>
        <w:ind w:left="714"/>
        <w:jc w:val="both"/>
        <w:rPr>
          <w:noProof/>
        </w:rPr>
      </w:pPr>
    </w:p>
    <w:p w:rsidR="000D061C" w:rsidRPr="00325F4F" w:rsidRDefault="000D061C" w:rsidP="000D061C">
      <w:pPr>
        <w:jc w:val="both"/>
        <w:rPr>
          <w:b/>
          <w:bCs/>
        </w:rPr>
      </w:pPr>
      <w:proofErr w:type="spellStart"/>
      <w:r w:rsidRPr="00325F4F">
        <w:rPr>
          <w:b/>
          <w:bCs/>
        </w:rPr>
        <w:t>Labo</w:t>
      </w:r>
      <w:r w:rsidR="00313648">
        <w:rPr>
          <w:b/>
          <w:bCs/>
        </w:rPr>
        <w:t>u</w:t>
      </w:r>
      <w:r w:rsidRPr="00325F4F">
        <w:rPr>
          <w:b/>
          <w:bCs/>
        </w:rPr>
        <w:t>r</w:t>
      </w:r>
      <w:proofErr w:type="spellEnd"/>
      <w:r w:rsidR="00071EE2" w:rsidRPr="00325F4F">
        <w:rPr>
          <w:b/>
          <w:bCs/>
        </w:rPr>
        <w:t xml:space="preserve"> Force</w:t>
      </w:r>
      <w:r w:rsidRPr="00325F4F">
        <w:rPr>
          <w:b/>
          <w:bCs/>
        </w:rPr>
        <w:t>:</w:t>
      </w:r>
    </w:p>
    <w:p w:rsidR="000D061C" w:rsidRPr="00325F4F" w:rsidRDefault="000D061C" w:rsidP="009A1CDF">
      <w:pPr>
        <w:numPr>
          <w:ilvl w:val="0"/>
          <w:numId w:val="1"/>
        </w:numPr>
        <w:ind w:left="714" w:hanging="350"/>
        <w:jc w:val="both"/>
        <w:rPr>
          <w:noProof/>
        </w:rPr>
      </w:pPr>
      <w:r w:rsidRPr="00325F4F">
        <w:rPr>
          <w:noProof/>
        </w:rPr>
        <w:t>The labo</w:t>
      </w:r>
      <w:r w:rsidR="00313648">
        <w:rPr>
          <w:noProof/>
        </w:rPr>
        <w:t>u</w:t>
      </w:r>
      <w:r w:rsidRPr="00325F4F">
        <w:rPr>
          <w:noProof/>
        </w:rPr>
        <w:t xml:space="preserve">r force participation rate among Palestinians (15 years and above) was </w:t>
      </w:r>
      <w:r w:rsidR="009A1CDF" w:rsidRPr="00325F4F">
        <w:rPr>
          <w:noProof/>
        </w:rPr>
        <w:t>49</w:t>
      </w:r>
      <w:r w:rsidRPr="00325F4F">
        <w:rPr>
          <w:noProof/>
        </w:rPr>
        <w:t>.</w:t>
      </w:r>
      <w:r w:rsidR="009A1CDF" w:rsidRPr="00325F4F">
        <w:rPr>
          <w:noProof/>
        </w:rPr>
        <w:t>9</w:t>
      </w:r>
      <w:r w:rsidRPr="00325F4F">
        <w:rPr>
          <w:noProof/>
        </w:rPr>
        <w:t>%: 6</w:t>
      </w:r>
      <w:r w:rsidR="009A1CDF" w:rsidRPr="00325F4F">
        <w:rPr>
          <w:noProof/>
        </w:rPr>
        <w:t>6</w:t>
      </w:r>
      <w:r w:rsidRPr="00325F4F">
        <w:rPr>
          <w:noProof/>
        </w:rPr>
        <w:t>.</w:t>
      </w:r>
      <w:r w:rsidR="009A1CDF" w:rsidRPr="00325F4F">
        <w:rPr>
          <w:noProof/>
        </w:rPr>
        <w:t>6</w:t>
      </w:r>
      <w:r w:rsidRPr="00325F4F">
        <w:rPr>
          <w:noProof/>
        </w:rPr>
        <w:t xml:space="preserve">% for males, and </w:t>
      </w:r>
      <w:r w:rsidR="009A1CDF" w:rsidRPr="00325F4F">
        <w:rPr>
          <w:noProof/>
        </w:rPr>
        <w:t>32</w:t>
      </w:r>
      <w:r w:rsidRPr="00325F4F">
        <w:rPr>
          <w:noProof/>
        </w:rPr>
        <w:t>.</w:t>
      </w:r>
      <w:r w:rsidR="009A1CDF" w:rsidRPr="00325F4F">
        <w:rPr>
          <w:noProof/>
        </w:rPr>
        <w:t>9</w:t>
      </w:r>
      <w:r w:rsidRPr="00325F4F">
        <w:rPr>
          <w:noProof/>
        </w:rPr>
        <w:t xml:space="preserve">% for females in </w:t>
      </w:r>
      <w:r w:rsidR="009A1CDF" w:rsidRPr="00325F4F">
        <w:rPr>
          <w:noProof/>
        </w:rPr>
        <w:t>2017</w:t>
      </w:r>
      <w:r w:rsidRPr="00325F4F">
        <w:rPr>
          <w:noProof/>
        </w:rPr>
        <w:t>.</w:t>
      </w:r>
    </w:p>
    <w:p w:rsidR="000D061C" w:rsidRPr="00325F4F" w:rsidRDefault="000D061C" w:rsidP="009A1CDF">
      <w:pPr>
        <w:numPr>
          <w:ilvl w:val="0"/>
          <w:numId w:val="1"/>
        </w:numPr>
        <w:ind w:left="714" w:hanging="350"/>
        <w:jc w:val="both"/>
        <w:rPr>
          <w:noProof/>
        </w:rPr>
      </w:pPr>
      <w:r w:rsidRPr="00325F4F">
        <w:rPr>
          <w:noProof/>
        </w:rPr>
        <w:t xml:space="preserve">The unemployment rate was </w:t>
      </w:r>
      <w:r w:rsidR="009A1CDF" w:rsidRPr="00325F4F">
        <w:rPr>
          <w:noProof/>
        </w:rPr>
        <w:t>3.7</w:t>
      </w:r>
      <w:r w:rsidRPr="00325F4F">
        <w:rPr>
          <w:noProof/>
        </w:rPr>
        <w:t xml:space="preserve">%: </w:t>
      </w:r>
      <w:r w:rsidR="009A1CDF" w:rsidRPr="00325F4F">
        <w:rPr>
          <w:noProof/>
        </w:rPr>
        <w:t>6.6</w:t>
      </w:r>
      <w:r w:rsidRPr="00325F4F">
        <w:rPr>
          <w:noProof/>
        </w:rPr>
        <w:t xml:space="preserve">% for females and </w:t>
      </w:r>
      <w:r w:rsidR="009A1CDF" w:rsidRPr="00325F4F">
        <w:rPr>
          <w:noProof/>
        </w:rPr>
        <w:t>2.2</w:t>
      </w:r>
      <w:r w:rsidRPr="00325F4F">
        <w:rPr>
          <w:noProof/>
        </w:rPr>
        <w:t xml:space="preserve">% for males in </w:t>
      </w:r>
      <w:r w:rsidR="009A1CDF" w:rsidRPr="00325F4F">
        <w:rPr>
          <w:noProof/>
        </w:rPr>
        <w:t>2017</w:t>
      </w:r>
      <w:r w:rsidRPr="00325F4F">
        <w:rPr>
          <w:noProof/>
        </w:rPr>
        <w:t>.</w:t>
      </w:r>
    </w:p>
    <w:p w:rsidR="00F70417" w:rsidRPr="00325F4F" w:rsidRDefault="00F70417" w:rsidP="00F70417">
      <w:pPr>
        <w:ind w:left="-14"/>
        <w:jc w:val="both"/>
        <w:rPr>
          <w:noProof/>
          <w:sz w:val="10"/>
          <w:szCs w:val="10"/>
        </w:rPr>
      </w:pPr>
    </w:p>
    <w:p w:rsidR="00742C2C" w:rsidRPr="00325F4F" w:rsidRDefault="00742C2C" w:rsidP="00F70417">
      <w:pPr>
        <w:ind w:left="-14"/>
        <w:jc w:val="both"/>
        <w:rPr>
          <w:noProof/>
          <w:sz w:val="10"/>
          <w:szCs w:val="10"/>
        </w:rPr>
      </w:pPr>
    </w:p>
    <w:p w:rsidR="00742C2C" w:rsidRPr="00325F4F" w:rsidRDefault="00742C2C" w:rsidP="005075F0">
      <w:pPr>
        <w:pStyle w:val="ListParagraph"/>
        <w:bidi w:val="0"/>
        <w:ind w:left="360"/>
        <w:jc w:val="lowKashida"/>
        <w:rPr>
          <w:rFonts w:cs="Times New Roman"/>
          <w:b/>
          <w:bCs/>
          <w:i/>
          <w:iCs/>
          <w:sz w:val="18"/>
          <w:szCs w:val="18"/>
          <w:u w:val="single"/>
        </w:rPr>
      </w:pPr>
      <w:r w:rsidRPr="00325F4F">
        <w:rPr>
          <w:rFonts w:cs="Times New Roman"/>
          <w:b/>
          <w:bCs/>
          <w:i/>
          <w:iCs/>
          <w:sz w:val="18"/>
          <w:szCs w:val="18"/>
          <w:u w:val="single"/>
        </w:rPr>
        <w:t xml:space="preserve">For more details on Palestinians in the Occupied Palestinian Territory in 1948, see the tables in chapter 2 of the Arabic section, pages </w:t>
      </w:r>
      <w:r w:rsidR="00426EE0">
        <w:rPr>
          <w:rFonts w:cs="Times New Roman"/>
          <w:b/>
          <w:bCs/>
          <w:i/>
          <w:iCs/>
          <w:sz w:val="18"/>
          <w:szCs w:val="18"/>
          <w:u w:val="single"/>
        </w:rPr>
        <w:t>243</w:t>
      </w:r>
      <w:r w:rsidRPr="00325F4F">
        <w:rPr>
          <w:rFonts w:cs="Times New Roman"/>
          <w:b/>
          <w:bCs/>
          <w:i/>
          <w:iCs/>
          <w:sz w:val="18"/>
          <w:szCs w:val="18"/>
          <w:u w:val="single"/>
        </w:rPr>
        <w:t>-</w:t>
      </w:r>
      <w:r w:rsidR="00426EE0">
        <w:rPr>
          <w:rFonts w:cs="Times New Roman" w:hint="cs"/>
          <w:b/>
          <w:bCs/>
          <w:i/>
          <w:iCs/>
          <w:sz w:val="18"/>
          <w:szCs w:val="18"/>
          <w:u w:val="single"/>
          <w:rtl/>
        </w:rPr>
        <w:t>268</w:t>
      </w:r>
      <w:r w:rsidRPr="00325F4F">
        <w:rPr>
          <w:rFonts w:cs="Times New Roman"/>
          <w:b/>
          <w:bCs/>
          <w:i/>
          <w:iCs/>
          <w:sz w:val="18"/>
          <w:szCs w:val="18"/>
          <w:u w:val="single"/>
        </w:rPr>
        <w:t>.</w:t>
      </w:r>
    </w:p>
    <w:p w:rsidR="003640B2" w:rsidRPr="00325F4F" w:rsidRDefault="003640B2" w:rsidP="007B3C9D">
      <w:pPr>
        <w:numPr>
          <w:ilvl w:val="0"/>
          <w:numId w:val="1"/>
        </w:numPr>
        <w:ind w:left="714" w:hanging="350"/>
        <w:jc w:val="both"/>
        <w:rPr>
          <w:noProof/>
        </w:rPr>
      </w:pPr>
      <w:r w:rsidRPr="00325F4F">
        <w:rPr>
          <w:noProof/>
        </w:rPr>
        <w:br w:type="page"/>
      </w:r>
    </w:p>
    <w:p w:rsidR="00B5698C" w:rsidRPr="00325F4F" w:rsidRDefault="00C65AB2" w:rsidP="007253BE">
      <w:pPr>
        <w:pStyle w:val="Title"/>
        <w:bidi w:val="0"/>
      </w:pPr>
      <w:r w:rsidRPr="00325F4F">
        <w:lastRenderedPageBreak/>
        <w:t>Palestinians in the Diaspora</w:t>
      </w:r>
    </w:p>
    <w:p w:rsidR="00B5698C" w:rsidRPr="00325F4F" w:rsidRDefault="007E5F1A" w:rsidP="00B5698C">
      <w:pPr>
        <w:jc w:val="both"/>
        <w:rPr>
          <w:sz w:val="10"/>
          <w:szCs w:val="10"/>
        </w:rPr>
      </w:pPr>
      <w:r w:rsidRPr="007E5F1A">
        <w:rPr>
          <w:noProof/>
        </w:rPr>
        <w:pict>
          <v:rect id="_x0000_s1027" style="position:absolute;left:0;text-align:left;margin-left:303.35pt;margin-top:-22.8pt;width:42pt;height:24pt;z-index:251654144">
            <v:textbox style="mso-next-textbox:#_x0000_s1027">
              <w:txbxContent>
                <w:p w:rsidR="008832A6" w:rsidRDefault="008832A6" w:rsidP="003C6F02">
                  <w:pPr>
                    <w:jc w:val="center"/>
                    <w:rPr>
                      <w:b/>
                      <w:bCs/>
                      <w:sz w:val="28"/>
                      <w:szCs w:val="28"/>
                    </w:rPr>
                  </w:pPr>
                  <w:r>
                    <w:rPr>
                      <w:b/>
                      <w:bCs/>
                      <w:sz w:val="28"/>
                      <w:szCs w:val="28"/>
                    </w:rPr>
                    <w:t>3.1</w:t>
                  </w:r>
                </w:p>
              </w:txbxContent>
            </v:textbox>
          </v:rect>
        </w:pict>
      </w:r>
    </w:p>
    <w:p w:rsidR="00DC67CE" w:rsidRPr="00325F4F" w:rsidRDefault="00DC67CE" w:rsidP="00DC67CE">
      <w:pPr>
        <w:ind w:left="-14"/>
        <w:jc w:val="both"/>
        <w:rPr>
          <w:noProof/>
        </w:rPr>
      </w:pPr>
      <w:bookmarkStart w:id="2" w:name="OLE_LINK1"/>
    </w:p>
    <w:p w:rsidR="00C9334E" w:rsidRPr="00325F4F" w:rsidRDefault="00C9334E" w:rsidP="00C82375">
      <w:pPr>
        <w:jc w:val="lowKashida"/>
      </w:pPr>
      <w:r w:rsidRPr="00325F4F">
        <w:t xml:space="preserve">The </w:t>
      </w:r>
      <w:proofErr w:type="spellStart"/>
      <w:r w:rsidRPr="00325F4F">
        <w:t>Nakba</w:t>
      </w:r>
      <w:proofErr w:type="spellEnd"/>
      <w:r w:rsidRPr="00325F4F">
        <w:t xml:space="preserve"> (Catastrophe) constituted a black period in </w:t>
      </w:r>
      <w:r w:rsidR="00204A61" w:rsidRPr="00325F4F">
        <w:t xml:space="preserve">the </w:t>
      </w:r>
      <w:r w:rsidRPr="00325F4F">
        <w:t>Palestinian history,</w:t>
      </w:r>
      <w:r w:rsidRPr="00325F4F">
        <w:rPr>
          <w:rFonts w:hint="cs"/>
          <w:rtl/>
          <w:lang w:val="en-GB"/>
        </w:rPr>
        <w:t xml:space="preserve"> </w:t>
      </w:r>
      <w:r w:rsidRPr="00325F4F">
        <w:t>when the Palestinian people were confronted with indescribable acts of oppression, dispossession and suffering.</w:t>
      </w:r>
    </w:p>
    <w:p w:rsidR="00C9334E" w:rsidRPr="00325F4F" w:rsidRDefault="00C9334E" w:rsidP="00C9334E">
      <w:pPr>
        <w:jc w:val="lowKashida"/>
      </w:pPr>
    </w:p>
    <w:p w:rsidR="00C9334E" w:rsidRPr="00325F4F" w:rsidRDefault="00C9334E" w:rsidP="001C6114">
      <w:pPr>
        <w:jc w:val="lowKashida"/>
      </w:pPr>
      <w:r w:rsidRPr="00325F4F">
        <w:t xml:space="preserve">Palestinians who sought refuge in countries outside Palestine encountered all types of abuse and agonies.  On one hand, they were uprooted from their homeland and deprived of their property and homes.  On the other hand, they sought refuge in countries where they had no power or will. At the time of their dispossession, the Palestinians felt that their expulsion and refugee status would be temporary. They believed that their situation would not last more than several weeks or months, after which they would return in victory and with their honor restored. Thus, they paid little attention to their living circumstances in their host countries. </w:t>
      </w:r>
      <w:r w:rsidR="00C82FEC" w:rsidRPr="00325F4F">
        <w:t xml:space="preserve">Their hearts remained with Palestine, waiting for the signal for return. Year after another they realized that the </w:t>
      </w:r>
      <w:proofErr w:type="spellStart"/>
      <w:r w:rsidR="00C82FEC" w:rsidRPr="00325F4F">
        <w:t>Nakba</w:t>
      </w:r>
      <w:proofErr w:type="spellEnd"/>
      <w:r w:rsidR="00C82FEC" w:rsidRPr="00325F4F">
        <w:t xml:space="preserve"> </w:t>
      </w:r>
      <w:r w:rsidRPr="00325F4F">
        <w:t>would last longer than expected, and that Palestinians would endure more pain and suffering. Popular movements and organizations emerged to defend the rights of the Palestinians wherever they were located. The situation remained unchanged with no unified political and powerful entity representing all the Palestinians of the Diaspora until the foundation of the Palestine Liberation Organization (PLO). The emergence of the Palestinian revolt in 1965 caught the attention of most countries and gained their recognition. The PLO then became the sole political representative of all Palestinians everywhere, in spite of the fact that part of the Palestinian territory was subject to Arab administration (Jordan in the West Bank and Egypt in Gaza Strip).</w:t>
      </w:r>
    </w:p>
    <w:p w:rsidR="00C9334E" w:rsidRPr="00325F4F" w:rsidRDefault="00C9334E" w:rsidP="00C9334E">
      <w:pPr>
        <w:jc w:val="lowKashida"/>
      </w:pPr>
    </w:p>
    <w:p w:rsidR="00C9334E" w:rsidRPr="00325F4F" w:rsidRDefault="00C9334E" w:rsidP="00C01D28">
      <w:pPr>
        <w:jc w:val="lowKashida"/>
      </w:pPr>
      <w:r w:rsidRPr="00325F4F">
        <w:t xml:space="preserve">PCBS has been constantly working on collecting, tabulating and disseminating statistical data on the Palestinians both in Palestine and in the Diaspora.  This task always </w:t>
      </w:r>
      <w:r w:rsidR="00541629" w:rsidRPr="00325F4F">
        <w:t xml:space="preserve">faces </w:t>
      </w:r>
      <w:r w:rsidRPr="00325F4F">
        <w:t>several constraints such as the shortage of separate</w:t>
      </w:r>
      <w:r w:rsidR="00C01D28" w:rsidRPr="00325F4F">
        <w:t xml:space="preserve"> and </w:t>
      </w:r>
      <w:proofErr w:type="spellStart"/>
      <w:r w:rsidR="00C01D28" w:rsidRPr="00325F4F">
        <w:t>independant</w:t>
      </w:r>
      <w:proofErr w:type="spellEnd"/>
      <w:r w:rsidRPr="00325F4F">
        <w:t xml:space="preserve"> data on Palestinians in the Diaspora, as well as </w:t>
      </w:r>
      <w:r w:rsidR="007F4A1F" w:rsidRPr="00325F4F">
        <w:t>the</w:t>
      </w:r>
      <w:r w:rsidRPr="00325F4F">
        <w:t xml:space="preserve"> </w:t>
      </w:r>
      <w:r w:rsidR="007F4A1F" w:rsidRPr="00325F4F">
        <w:t>outdate</w:t>
      </w:r>
      <w:r w:rsidR="00C01D28" w:rsidRPr="00325F4F">
        <w:t>d</w:t>
      </w:r>
      <w:r w:rsidRPr="00325F4F">
        <w:t xml:space="preserve"> </w:t>
      </w:r>
      <w:r w:rsidR="007F4A1F" w:rsidRPr="00325F4F">
        <w:t xml:space="preserve">available </w:t>
      </w:r>
      <w:r w:rsidRPr="00325F4F">
        <w:t xml:space="preserve">data; </w:t>
      </w:r>
      <w:r w:rsidR="00C01D28" w:rsidRPr="00325F4F">
        <w:t xml:space="preserve">which is </w:t>
      </w:r>
      <w:r w:rsidR="00C82FEC" w:rsidRPr="00325F4F">
        <w:t>mainly excerpted</w:t>
      </w:r>
      <w:bookmarkStart w:id="3" w:name="_GoBack"/>
      <w:bookmarkEnd w:id="3"/>
      <w:r w:rsidR="00C82FEC" w:rsidRPr="00325F4F">
        <w:t xml:space="preserve"> from</w:t>
      </w:r>
      <w:r w:rsidRPr="00325F4F">
        <w:t xml:space="preserve"> UNRWA records.  We hope to overcome </w:t>
      </w:r>
      <w:r w:rsidR="00C01D28" w:rsidRPr="00325F4F">
        <w:t xml:space="preserve">those </w:t>
      </w:r>
      <w:r w:rsidRPr="00325F4F">
        <w:t xml:space="preserve">constraints in the near future.  </w:t>
      </w:r>
    </w:p>
    <w:p w:rsidR="00C9334E" w:rsidRPr="00325F4F" w:rsidRDefault="00C9334E" w:rsidP="00C9334E">
      <w:pPr>
        <w:jc w:val="lowKashida"/>
      </w:pPr>
    </w:p>
    <w:p w:rsidR="00C9334E" w:rsidRPr="00325F4F" w:rsidRDefault="00C9334E" w:rsidP="00C9334E">
      <w:pPr>
        <w:jc w:val="lowKashida"/>
      </w:pPr>
      <w:r w:rsidRPr="00325F4F">
        <w:t xml:space="preserve">The difficulty in creating a statistical database about Palestinians in the Diaspora lies in their dispersion both among a number of countries and within different areas of such countries. The Palestinians did not consider their communities as isolated ghettos; instead, they participated in the life of the countries they resided in, but retained their distinctiveness and identity at the same time.  The civil and administrative laws of the host countries made this task more difficult, by preventing integration with the population that resides there. </w:t>
      </w:r>
    </w:p>
    <w:p w:rsidR="00C9334E" w:rsidRPr="00325F4F" w:rsidRDefault="00C9334E" w:rsidP="00C9334E">
      <w:pPr>
        <w:jc w:val="lowKashida"/>
      </w:pPr>
    </w:p>
    <w:p w:rsidR="00C9334E" w:rsidRPr="00325F4F" w:rsidRDefault="00973D78" w:rsidP="00973D78">
      <w:pPr>
        <w:jc w:val="lowKashida"/>
      </w:pPr>
      <w:r w:rsidRPr="00325F4F">
        <w:t xml:space="preserve">Those </w:t>
      </w:r>
      <w:r w:rsidR="00C9334E" w:rsidRPr="00325F4F">
        <w:t>hindrances and other subjective complications made it difficult to provide consistent and comprehensive statistical data on all Palestinians in the Diaspora.</w:t>
      </w:r>
    </w:p>
    <w:p w:rsidR="00C9334E" w:rsidRPr="00325F4F" w:rsidRDefault="00C9334E" w:rsidP="00C9334E">
      <w:pPr>
        <w:jc w:val="lowKashida"/>
      </w:pPr>
      <w:r w:rsidRPr="00325F4F">
        <w:t>This chapter puts forth a set of data and statistical indicators dealing with population, employment, education, health and living and housing conditions for the Palestinians living in the Diaspora, especially in Jordan, Syria and Lebanon.</w:t>
      </w:r>
    </w:p>
    <w:p w:rsidR="00C9334E" w:rsidRPr="00325F4F" w:rsidRDefault="00C9334E" w:rsidP="00C9334E">
      <w:pPr>
        <w:jc w:val="lowKashida"/>
      </w:pPr>
    </w:p>
    <w:p w:rsidR="00850EF9" w:rsidRDefault="00850EF9">
      <w:pPr>
        <w:overflowPunct/>
        <w:autoSpaceDE/>
        <w:autoSpaceDN/>
        <w:adjustRightInd/>
        <w:textAlignment w:val="auto"/>
        <w:rPr>
          <w:b/>
          <w:bCs/>
        </w:rPr>
      </w:pPr>
      <w:r>
        <w:rPr>
          <w:b/>
          <w:bCs/>
        </w:rPr>
        <w:br w:type="page"/>
      </w:r>
    </w:p>
    <w:p w:rsidR="00C9334E" w:rsidRPr="00325F4F" w:rsidRDefault="00C9334E" w:rsidP="00C9334E">
      <w:pPr>
        <w:jc w:val="both"/>
        <w:rPr>
          <w:b/>
          <w:bCs/>
        </w:rPr>
      </w:pPr>
      <w:r w:rsidRPr="00325F4F">
        <w:rPr>
          <w:b/>
          <w:bCs/>
        </w:rPr>
        <w:lastRenderedPageBreak/>
        <w:t xml:space="preserve">Population: </w:t>
      </w:r>
    </w:p>
    <w:bookmarkEnd w:id="2"/>
    <w:p w:rsidR="00BB6D0F" w:rsidRPr="00325F4F" w:rsidRDefault="00BB6D0F" w:rsidP="004E7170">
      <w:pPr>
        <w:jc w:val="lowKashida"/>
        <w:rPr>
          <w:sz w:val="10"/>
          <w:szCs w:val="10"/>
        </w:rPr>
      </w:pPr>
    </w:p>
    <w:p w:rsidR="00B53B3A" w:rsidRPr="00325F4F" w:rsidRDefault="00B53B3A" w:rsidP="00A15515">
      <w:pPr>
        <w:numPr>
          <w:ilvl w:val="0"/>
          <w:numId w:val="1"/>
        </w:numPr>
        <w:ind w:left="714" w:hanging="350"/>
        <w:jc w:val="both"/>
        <w:rPr>
          <w:noProof/>
        </w:rPr>
      </w:pPr>
      <w:r w:rsidRPr="00325F4F">
        <w:rPr>
          <w:noProof/>
        </w:rPr>
        <w:t xml:space="preserve">There were </w:t>
      </w:r>
      <w:r w:rsidR="001F4A25" w:rsidRPr="00325F4F">
        <w:rPr>
          <w:noProof/>
        </w:rPr>
        <w:t>6.</w:t>
      </w:r>
      <w:r w:rsidR="00426EE0">
        <w:rPr>
          <w:rFonts w:hint="cs"/>
          <w:noProof/>
          <w:rtl/>
        </w:rPr>
        <w:t>2</w:t>
      </w:r>
      <w:r w:rsidRPr="00325F4F">
        <w:rPr>
          <w:noProof/>
        </w:rPr>
        <w:t xml:space="preserve"> million Palestinian refugees registered in Jordan, Syria, Lebanon and Palestine </w:t>
      </w:r>
      <w:r w:rsidR="008072F4" w:rsidRPr="00325F4F">
        <w:t xml:space="preserve">in </w:t>
      </w:r>
      <w:r w:rsidR="00A15515">
        <w:t>February</w:t>
      </w:r>
      <w:r w:rsidRPr="00325F4F">
        <w:t xml:space="preserve"> </w:t>
      </w:r>
      <w:r w:rsidR="00A15515">
        <w:rPr>
          <w:rFonts w:hint="cs"/>
          <w:rtl/>
        </w:rPr>
        <w:t>2019</w:t>
      </w:r>
      <w:r w:rsidRPr="00325F4F">
        <w:rPr>
          <w:noProof/>
        </w:rPr>
        <w:t>.</w:t>
      </w:r>
    </w:p>
    <w:p w:rsidR="005C4CFE" w:rsidRPr="00325F4F" w:rsidRDefault="005C4CFE" w:rsidP="00A15515">
      <w:pPr>
        <w:numPr>
          <w:ilvl w:val="0"/>
          <w:numId w:val="1"/>
        </w:numPr>
        <w:ind w:left="714" w:hanging="350"/>
        <w:jc w:val="both"/>
        <w:rPr>
          <w:noProof/>
        </w:rPr>
      </w:pPr>
      <w:r w:rsidRPr="00325F4F">
        <w:rPr>
          <w:noProof/>
        </w:rPr>
        <w:t>The number of Palestinian refugees registered in Jordan, Syria, Lebanon and Palestine and those living in Palestinian refugee camps reached about 1.7</w:t>
      </w:r>
      <w:r w:rsidR="00426EE0">
        <w:rPr>
          <w:rFonts w:hint="cs"/>
          <w:noProof/>
          <w:rtl/>
        </w:rPr>
        <w:t>3</w:t>
      </w:r>
      <w:r w:rsidRPr="00325F4F">
        <w:rPr>
          <w:noProof/>
        </w:rPr>
        <w:t xml:space="preserve"> million in </w:t>
      </w:r>
      <w:r w:rsidR="00A15515">
        <w:t>February</w:t>
      </w:r>
      <w:r w:rsidR="00A15515" w:rsidRPr="00325F4F">
        <w:t xml:space="preserve"> </w:t>
      </w:r>
      <w:r w:rsidR="00A15515">
        <w:rPr>
          <w:rFonts w:hint="cs"/>
          <w:rtl/>
        </w:rPr>
        <w:t>2019</w:t>
      </w:r>
      <w:r w:rsidR="00A15515">
        <w:rPr>
          <w:noProof/>
        </w:rPr>
        <w:t>.</w:t>
      </w:r>
    </w:p>
    <w:p w:rsidR="00C9334E" w:rsidRPr="00325F4F" w:rsidRDefault="00C9334E" w:rsidP="00C9334E">
      <w:pPr>
        <w:jc w:val="both"/>
        <w:rPr>
          <w:b/>
          <w:bCs/>
        </w:rPr>
      </w:pPr>
    </w:p>
    <w:p w:rsidR="00C9334E" w:rsidRPr="00325F4F" w:rsidRDefault="00C9334E" w:rsidP="00C9334E">
      <w:pPr>
        <w:jc w:val="both"/>
        <w:rPr>
          <w:b/>
          <w:bCs/>
        </w:rPr>
      </w:pPr>
      <w:r w:rsidRPr="00325F4F">
        <w:rPr>
          <w:b/>
          <w:bCs/>
        </w:rPr>
        <w:t>Health:</w:t>
      </w:r>
    </w:p>
    <w:p w:rsidR="00E26649" w:rsidRPr="00325F4F" w:rsidRDefault="00B5698C" w:rsidP="005075F0">
      <w:pPr>
        <w:numPr>
          <w:ilvl w:val="0"/>
          <w:numId w:val="1"/>
        </w:numPr>
        <w:ind w:left="714" w:hanging="350"/>
        <w:jc w:val="both"/>
        <w:rPr>
          <w:noProof/>
        </w:rPr>
      </w:pPr>
      <w:r w:rsidRPr="00325F4F">
        <w:rPr>
          <w:noProof/>
        </w:rPr>
        <w:t>The</w:t>
      </w:r>
      <w:r w:rsidR="00FD62A0" w:rsidRPr="00325F4F">
        <w:rPr>
          <w:noProof/>
        </w:rPr>
        <w:t xml:space="preserve">re were </w:t>
      </w:r>
      <w:r w:rsidR="00C377A5" w:rsidRPr="00325F4F">
        <w:rPr>
          <w:noProof/>
        </w:rPr>
        <w:t>27</w:t>
      </w:r>
      <w:r w:rsidRPr="00325F4F">
        <w:rPr>
          <w:noProof/>
        </w:rPr>
        <w:t xml:space="preserve"> </w:t>
      </w:r>
      <w:r w:rsidR="00553F6F" w:rsidRPr="00325F4F">
        <w:rPr>
          <w:noProof/>
        </w:rPr>
        <w:t>p</w:t>
      </w:r>
      <w:r w:rsidRPr="00325F4F">
        <w:rPr>
          <w:noProof/>
        </w:rPr>
        <w:t xml:space="preserve">rimary </w:t>
      </w:r>
      <w:r w:rsidR="00553F6F" w:rsidRPr="00325F4F">
        <w:rPr>
          <w:noProof/>
        </w:rPr>
        <w:t>h</w:t>
      </w:r>
      <w:r w:rsidRPr="00325F4F">
        <w:rPr>
          <w:noProof/>
        </w:rPr>
        <w:t>ealth</w:t>
      </w:r>
      <w:r w:rsidR="00553F6F" w:rsidRPr="00325F4F">
        <w:rPr>
          <w:noProof/>
        </w:rPr>
        <w:t>c</w:t>
      </w:r>
      <w:r w:rsidRPr="00325F4F">
        <w:rPr>
          <w:noProof/>
        </w:rPr>
        <w:t xml:space="preserve">are </w:t>
      </w:r>
      <w:r w:rsidR="00553F6F" w:rsidRPr="00325F4F">
        <w:rPr>
          <w:noProof/>
        </w:rPr>
        <w:t xml:space="preserve">centers </w:t>
      </w:r>
      <w:r w:rsidRPr="00325F4F">
        <w:rPr>
          <w:noProof/>
        </w:rPr>
        <w:t>in</w:t>
      </w:r>
      <w:r w:rsidR="00C377A5" w:rsidRPr="00325F4F">
        <w:rPr>
          <w:noProof/>
        </w:rPr>
        <w:t xml:space="preserve"> Lebanon,</w:t>
      </w:r>
      <w:r w:rsidRPr="00325F4F">
        <w:rPr>
          <w:noProof/>
        </w:rPr>
        <w:t xml:space="preserve"> </w:t>
      </w:r>
      <w:r w:rsidR="00FD62A0" w:rsidRPr="00325F4F">
        <w:rPr>
          <w:noProof/>
        </w:rPr>
        <w:t>2</w:t>
      </w:r>
      <w:r w:rsidR="001B4B14" w:rsidRPr="00325F4F">
        <w:rPr>
          <w:noProof/>
        </w:rPr>
        <w:t>6</w:t>
      </w:r>
      <w:r w:rsidRPr="00325F4F">
        <w:rPr>
          <w:noProof/>
        </w:rPr>
        <w:t xml:space="preserve"> </w:t>
      </w:r>
      <w:r w:rsidR="00FD62A0" w:rsidRPr="00325F4F">
        <w:rPr>
          <w:noProof/>
        </w:rPr>
        <w:t xml:space="preserve">in </w:t>
      </w:r>
      <w:r w:rsidRPr="00325F4F">
        <w:rPr>
          <w:noProof/>
        </w:rPr>
        <w:t xml:space="preserve">Syria, </w:t>
      </w:r>
      <w:r w:rsidR="00553F6F" w:rsidRPr="00325F4F">
        <w:rPr>
          <w:noProof/>
        </w:rPr>
        <w:t>and</w:t>
      </w:r>
      <w:r w:rsidR="00FD62A0" w:rsidRPr="00325F4F">
        <w:rPr>
          <w:noProof/>
        </w:rPr>
        <w:t xml:space="preserve"> </w:t>
      </w:r>
      <w:r w:rsidR="00C377A5" w:rsidRPr="00325F4F">
        <w:rPr>
          <w:noProof/>
        </w:rPr>
        <w:t>2</w:t>
      </w:r>
      <w:r w:rsidR="001B4B14" w:rsidRPr="00325F4F">
        <w:rPr>
          <w:noProof/>
        </w:rPr>
        <w:t>5</w:t>
      </w:r>
      <w:r w:rsidR="00FD62A0" w:rsidRPr="00325F4F">
        <w:rPr>
          <w:noProof/>
        </w:rPr>
        <w:t xml:space="preserve"> in</w:t>
      </w:r>
      <w:r w:rsidR="00553F6F" w:rsidRPr="00325F4F">
        <w:rPr>
          <w:noProof/>
        </w:rPr>
        <w:t xml:space="preserve"> </w:t>
      </w:r>
      <w:r w:rsidR="00A54B80" w:rsidRPr="00325F4F">
        <w:rPr>
          <w:noProof/>
        </w:rPr>
        <w:t>Jordan</w:t>
      </w:r>
      <w:r w:rsidR="00A15515">
        <w:rPr>
          <w:noProof/>
        </w:rPr>
        <w:t xml:space="preserve"> and 65 in palestine</w:t>
      </w:r>
      <w:r w:rsidRPr="00325F4F">
        <w:rPr>
          <w:noProof/>
        </w:rPr>
        <w:t xml:space="preserve"> in</w:t>
      </w:r>
      <w:r w:rsidR="0081681C" w:rsidRPr="00325F4F">
        <w:rPr>
          <w:noProof/>
        </w:rPr>
        <w:t xml:space="preserve"> </w:t>
      </w:r>
      <w:r w:rsidR="00A15515">
        <w:t>February</w:t>
      </w:r>
      <w:r w:rsidR="00A15515" w:rsidRPr="00325F4F">
        <w:t xml:space="preserve"> </w:t>
      </w:r>
      <w:r w:rsidR="00A15515">
        <w:rPr>
          <w:rFonts w:hint="cs"/>
          <w:rtl/>
        </w:rPr>
        <w:t>2019</w:t>
      </w:r>
      <w:r w:rsidRPr="00325F4F">
        <w:rPr>
          <w:noProof/>
        </w:rPr>
        <w:t>.</w:t>
      </w:r>
    </w:p>
    <w:p w:rsidR="00C9334E" w:rsidRPr="00325F4F" w:rsidRDefault="00C9334E" w:rsidP="00C9334E">
      <w:pPr>
        <w:jc w:val="both"/>
        <w:rPr>
          <w:b/>
          <w:bCs/>
        </w:rPr>
      </w:pPr>
    </w:p>
    <w:p w:rsidR="00B5698C" w:rsidRPr="00325F4F" w:rsidRDefault="00C9334E" w:rsidP="00C9334E">
      <w:pPr>
        <w:jc w:val="both"/>
        <w:rPr>
          <w:b/>
          <w:bCs/>
        </w:rPr>
      </w:pPr>
      <w:r w:rsidRPr="00325F4F">
        <w:rPr>
          <w:b/>
          <w:bCs/>
        </w:rPr>
        <w:t>Education:</w:t>
      </w:r>
      <w:r w:rsidR="00B5698C" w:rsidRPr="00325F4F">
        <w:rPr>
          <w:b/>
          <w:bCs/>
        </w:rPr>
        <w:t xml:space="preserve"> </w:t>
      </w:r>
    </w:p>
    <w:p w:rsidR="00E26649" w:rsidRPr="00325F4F" w:rsidRDefault="00E26649" w:rsidP="00426EE0">
      <w:pPr>
        <w:numPr>
          <w:ilvl w:val="0"/>
          <w:numId w:val="1"/>
        </w:numPr>
        <w:ind w:left="714" w:hanging="350"/>
        <w:jc w:val="both"/>
        <w:rPr>
          <w:noProof/>
        </w:rPr>
      </w:pPr>
      <w:r w:rsidRPr="00325F4F">
        <w:rPr>
          <w:noProof/>
        </w:rPr>
        <w:t xml:space="preserve">The total number of UNRWA schools was </w:t>
      </w:r>
      <w:r w:rsidR="00E22B42" w:rsidRPr="00325F4F">
        <w:rPr>
          <w:noProof/>
        </w:rPr>
        <w:t>1</w:t>
      </w:r>
      <w:r w:rsidR="00426EE0">
        <w:rPr>
          <w:rFonts w:hint="cs"/>
          <w:noProof/>
          <w:rtl/>
        </w:rPr>
        <w:t>69</w:t>
      </w:r>
      <w:r w:rsidRPr="00325F4F">
        <w:rPr>
          <w:noProof/>
        </w:rPr>
        <w:t xml:space="preserve"> schools in Jordan, </w:t>
      </w:r>
      <w:r w:rsidR="00E22B42" w:rsidRPr="00325F4F">
        <w:rPr>
          <w:noProof/>
        </w:rPr>
        <w:t>1</w:t>
      </w:r>
      <w:r w:rsidR="00426EE0">
        <w:rPr>
          <w:rFonts w:hint="cs"/>
          <w:noProof/>
          <w:rtl/>
        </w:rPr>
        <w:t>03</w:t>
      </w:r>
      <w:r w:rsidRPr="00325F4F">
        <w:rPr>
          <w:noProof/>
        </w:rPr>
        <w:t xml:space="preserve"> schools in Syria and </w:t>
      </w:r>
      <w:r w:rsidR="000B6F29" w:rsidRPr="00325F4F">
        <w:rPr>
          <w:noProof/>
        </w:rPr>
        <w:t>6</w:t>
      </w:r>
      <w:r w:rsidR="001F4A25" w:rsidRPr="00325F4F">
        <w:rPr>
          <w:noProof/>
        </w:rPr>
        <w:t>6</w:t>
      </w:r>
      <w:r w:rsidRPr="00325F4F">
        <w:rPr>
          <w:noProof/>
        </w:rPr>
        <w:t xml:space="preserve"> schools in Lebanon in </w:t>
      </w:r>
      <w:r w:rsidR="001F4A25" w:rsidRPr="00325F4F">
        <w:rPr>
          <w:noProof/>
        </w:rPr>
        <w:t>2017</w:t>
      </w:r>
      <w:r w:rsidRPr="00325F4F">
        <w:rPr>
          <w:noProof/>
        </w:rPr>
        <w:t>/</w:t>
      </w:r>
      <w:r w:rsidR="001F4A25" w:rsidRPr="00325F4F">
        <w:rPr>
          <w:noProof/>
        </w:rPr>
        <w:t>2018</w:t>
      </w:r>
      <w:r w:rsidRPr="00325F4F">
        <w:rPr>
          <w:noProof/>
        </w:rPr>
        <w:t>.</w:t>
      </w:r>
    </w:p>
    <w:p w:rsidR="00BB6D0F" w:rsidRPr="00325F4F" w:rsidRDefault="00BB6D0F" w:rsidP="004E7170">
      <w:pPr>
        <w:jc w:val="lowKashida"/>
        <w:rPr>
          <w:sz w:val="10"/>
          <w:szCs w:val="10"/>
        </w:rPr>
      </w:pPr>
    </w:p>
    <w:p w:rsidR="00B5698C" w:rsidRPr="00325F4F" w:rsidRDefault="00B5698C" w:rsidP="001F4A25">
      <w:pPr>
        <w:numPr>
          <w:ilvl w:val="0"/>
          <w:numId w:val="1"/>
        </w:numPr>
        <w:ind w:left="714" w:hanging="350"/>
        <w:jc w:val="both"/>
        <w:rPr>
          <w:noProof/>
        </w:rPr>
      </w:pPr>
      <w:r w:rsidRPr="00325F4F">
        <w:rPr>
          <w:noProof/>
        </w:rPr>
        <w:t xml:space="preserve">The total number of refugee students in UNRWA </w:t>
      </w:r>
      <w:r w:rsidR="00553F6F" w:rsidRPr="00325F4F">
        <w:rPr>
          <w:noProof/>
        </w:rPr>
        <w:t>s</w:t>
      </w:r>
      <w:r w:rsidRPr="00325F4F">
        <w:rPr>
          <w:noProof/>
        </w:rPr>
        <w:t xml:space="preserve">chools was </w:t>
      </w:r>
      <w:r w:rsidR="001B4B14" w:rsidRPr="00325F4F">
        <w:rPr>
          <w:noProof/>
        </w:rPr>
        <w:t>1</w:t>
      </w:r>
      <w:r w:rsidR="001F4A25" w:rsidRPr="00325F4F">
        <w:rPr>
          <w:noProof/>
        </w:rPr>
        <w:t>22</w:t>
      </w:r>
      <w:r w:rsidR="00B21F3A" w:rsidRPr="00325F4F">
        <w:rPr>
          <w:noProof/>
        </w:rPr>
        <w:t>,</w:t>
      </w:r>
      <w:r w:rsidR="001F4A25" w:rsidRPr="00325F4F">
        <w:rPr>
          <w:noProof/>
        </w:rPr>
        <w:t>194</w:t>
      </w:r>
      <w:r w:rsidRPr="00325F4F">
        <w:rPr>
          <w:noProof/>
        </w:rPr>
        <w:t xml:space="preserve"> in Jordan, </w:t>
      </w:r>
      <w:r w:rsidR="001B4B14" w:rsidRPr="00325F4F">
        <w:rPr>
          <w:noProof/>
        </w:rPr>
        <w:t>36</w:t>
      </w:r>
      <w:r w:rsidR="00B21F3A" w:rsidRPr="00325F4F">
        <w:rPr>
          <w:noProof/>
        </w:rPr>
        <w:t>,</w:t>
      </w:r>
      <w:r w:rsidR="001F4A25" w:rsidRPr="00325F4F">
        <w:rPr>
          <w:noProof/>
        </w:rPr>
        <w:t>775</w:t>
      </w:r>
      <w:r w:rsidRPr="00325F4F">
        <w:rPr>
          <w:noProof/>
        </w:rPr>
        <w:t xml:space="preserve"> in Lebanon and </w:t>
      </w:r>
      <w:r w:rsidR="001B4B14" w:rsidRPr="00325F4F">
        <w:rPr>
          <w:noProof/>
        </w:rPr>
        <w:t>4</w:t>
      </w:r>
      <w:r w:rsidR="001F4A25" w:rsidRPr="00325F4F">
        <w:rPr>
          <w:noProof/>
        </w:rPr>
        <w:t>7</w:t>
      </w:r>
      <w:r w:rsidR="00B21F3A" w:rsidRPr="00325F4F">
        <w:rPr>
          <w:noProof/>
        </w:rPr>
        <w:t>,</w:t>
      </w:r>
      <w:r w:rsidR="001F4A25" w:rsidRPr="00325F4F">
        <w:rPr>
          <w:noProof/>
        </w:rPr>
        <w:t>585</w:t>
      </w:r>
      <w:r w:rsidRPr="00325F4F">
        <w:rPr>
          <w:noProof/>
        </w:rPr>
        <w:t xml:space="preserve"> in Syria in </w:t>
      </w:r>
      <w:r w:rsidR="001F4A25" w:rsidRPr="00325F4F">
        <w:rPr>
          <w:noProof/>
        </w:rPr>
        <w:t>2017</w:t>
      </w:r>
      <w:r w:rsidR="007C3781" w:rsidRPr="00325F4F">
        <w:rPr>
          <w:noProof/>
        </w:rPr>
        <w:t>/</w:t>
      </w:r>
      <w:r w:rsidR="001F4A25" w:rsidRPr="00325F4F">
        <w:rPr>
          <w:noProof/>
        </w:rPr>
        <w:t>2018</w:t>
      </w:r>
      <w:r w:rsidRPr="00325F4F">
        <w:rPr>
          <w:noProof/>
        </w:rPr>
        <w:t xml:space="preserve">. </w:t>
      </w:r>
    </w:p>
    <w:p w:rsidR="00BB6D0F" w:rsidRPr="00325F4F" w:rsidRDefault="00BB6D0F" w:rsidP="004E7170">
      <w:pPr>
        <w:jc w:val="lowKashida"/>
        <w:rPr>
          <w:sz w:val="10"/>
          <w:szCs w:val="10"/>
        </w:rPr>
      </w:pPr>
    </w:p>
    <w:p w:rsidR="00B5698C" w:rsidRPr="00325F4F" w:rsidRDefault="00B5698C" w:rsidP="005E3136">
      <w:pPr>
        <w:numPr>
          <w:ilvl w:val="0"/>
          <w:numId w:val="1"/>
        </w:numPr>
        <w:ind w:left="714" w:hanging="350"/>
        <w:jc w:val="both"/>
        <w:rPr>
          <w:noProof/>
        </w:rPr>
      </w:pPr>
      <w:r w:rsidRPr="00325F4F">
        <w:rPr>
          <w:noProof/>
        </w:rPr>
        <w:t xml:space="preserve">The total number of teaching </w:t>
      </w:r>
      <w:r w:rsidR="00F07E78" w:rsidRPr="00325F4F">
        <w:rPr>
          <w:noProof/>
        </w:rPr>
        <w:t>s</w:t>
      </w:r>
      <w:r w:rsidRPr="00325F4F">
        <w:rPr>
          <w:noProof/>
        </w:rPr>
        <w:t xml:space="preserve">taff in UNRWA schools was </w:t>
      </w:r>
      <w:r w:rsidR="00F00428" w:rsidRPr="00325F4F">
        <w:rPr>
          <w:noProof/>
        </w:rPr>
        <w:t>5,</w:t>
      </w:r>
      <w:r w:rsidR="005E3136" w:rsidRPr="00325F4F">
        <w:rPr>
          <w:noProof/>
        </w:rPr>
        <w:t>137</w:t>
      </w:r>
      <w:r w:rsidRPr="00325F4F">
        <w:rPr>
          <w:noProof/>
        </w:rPr>
        <w:t xml:space="preserve"> in Jordan, </w:t>
      </w:r>
      <w:r w:rsidR="00F00428" w:rsidRPr="00325F4F">
        <w:rPr>
          <w:noProof/>
        </w:rPr>
        <w:t>2,</w:t>
      </w:r>
      <w:r w:rsidR="005E3136" w:rsidRPr="00325F4F">
        <w:rPr>
          <w:noProof/>
        </w:rPr>
        <w:t>308</w:t>
      </w:r>
      <w:r w:rsidR="008072A6" w:rsidRPr="00325F4F">
        <w:rPr>
          <w:noProof/>
        </w:rPr>
        <w:t xml:space="preserve"> </w:t>
      </w:r>
      <w:r w:rsidRPr="00325F4F">
        <w:rPr>
          <w:noProof/>
        </w:rPr>
        <w:t xml:space="preserve">in Syria and </w:t>
      </w:r>
      <w:r w:rsidR="001B4B14" w:rsidRPr="00325F4F">
        <w:rPr>
          <w:noProof/>
        </w:rPr>
        <w:t>2</w:t>
      </w:r>
      <w:r w:rsidR="00F00428" w:rsidRPr="00325F4F">
        <w:rPr>
          <w:noProof/>
        </w:rPr>
        <w:t>,</w:t>
      </w:r>
      <w:r w:rsidR="005E3136" w:rsidRPr="00325F4F">
        <w:rPr>
          <w:noProof/>
        </w:rPr>
        <w:t>134</w:t>
      </w:r>
      <w:r w:rsidRPr="00325F4F">
        <w:rPr>
          <w:noProof/>
        </w:rPr>
        <w:t xml:space="preserve"> in Lebanon in </w:t>
      </w:r>
      <w:r w:rsidR="005E3136" w:rsidRPr="00325F4F">
        <w:rPr>
          <w:noProof/>
        </w:rPr>
        <w:t>2017</w:t>
      </w:r>
      <w:r w:rsidR="00507D5D" w:rsidRPr="00325F4F">
        <w:rPr>
          <w:noProof/>
        </w:rPr>
        <w:t>/</w:t>
      </w:r>
      <w:r w:rsidR="005E3136" w:rsidRPr="00325F4F">
        <w:rPr>
          <w:noProof/>
        </w:rPr>
        <w:t>2018</w:t>
      </w:r>
      <w:r w:rsidRPr="00325F4F">
        <w:rPr>
          <w:noProof/>
        </w:rPr>
        <w:t xml:space="preserve">. </w:t>
      </w:r>
    </w:p>
    <w:p w:rsidR="005C4CFE" w:rsidRPr="00325F4F" w:rsidRDefault="005C4CFE" w:rsidP="005C4CFE">
      <w:pPr>
        <w:pStyle w:val="ListParagraph"/>
      </w:pPr>
    </w:p>
    <w:p w:rsidR="005C4CFE" w:rsidRPr="00325F4F" w:rsidRDefault="005C4CFE" w:rsidP="005075F0">
      <w:pPr>
        <w:numPr>
          <w:ilvl w:val="0"/>
          <w:numId w:val="1"/>
        </w:numPr>
        <w:ind w:left="714" w:hanging="350"/>
        <w:jc w:val="both"/>
        <w:rPr>
          <w:noProof/>
        </w:rPr>
      </w:pPr>
      <w:r w:rsidRPr="00325F4F">
        <w:rPr>
          <w:noProof/>
        </w:rPr>
        <w:t xml:space="preserve">The number of vocational and technical training centers was </w:t>
      </w:r>
      <w:r w:rsidR="00426EE0">
        <w:rPr>
          <w:noProof/>
        </w:rPr>
        <w:t>8</w:t>
      </w:r>
      <w:r w:rsidRPr="00325F4F">
        <w:rPr>
          <w:noProof/>
        </w:rPr>
        <w:t xml:space="preserve"> centers</w:t>
      </w:r>
      <w:r w:rsidR="009F266E">
        <w:rPr>
          <w:noProof/>
        </w:rPr>
        <w:t>:</w:t>
      </w:r>
      <w:r w:rsidR="00426EE0">
        <w:rPr>
          <w:noProof/>
        </w:rPr>
        <w:t>2</w:t>
      </w:r>
      <w:r w:rsidRPr="00325F4F">
        <w:rPr>
          <w:noProof/>
        </w:rPr>
        <w:t xml:space="preserve"> centers in Jordan, </w:t>
      </w:r>
      <w:r w:rsidR="00426EE0">
        <w:rPr>
          <w:noProof/>
        </w:rPr>
        <w:t>1</w:t>
      </w:r>
      <w:r w:rsidRPr="00325F4F">
        <w:rPr>
          <w:noProof/>
        </w:rPr>
        <w:t xml:space="preserve"> in Syria and Lebanon, and </w:t>
      </w:r>
      <w:r w:rsidR="00426EE0">
        <w:rPr>
          <w:noProof/>
        </w:rPr>
        <w:t>4</w:t>
      </w:r>
      <w:r w:rsidRPr="00325F4F">
        <w:rPr>
          <w:noProof/>
        </w:rPr>
        <w:t xml:space="preserve"> in Palestine</w:t>
      </w:r>
      <w:r w:rsidR="00EF5593">
        <w:rPr>
          <w:noProof/>
        </w:rPr>
        <w:t>;</w:t>
      </w:r>
      <w:r w:rsidR="00EF5593" w:rsidRPr="00325F4F">
        <w:rPr>
          <w:noProof/>
        </w:rPr>
        <w:t xml:space="preserve"> </w:t>
      </w:r>
      <w:r w:rsidR="009F266E">
        <w:rPr>
          <w:noProof/>
        </w:rPr>
        <w:t>2 of w</w:t>
      </w:r>
      <w:r w:rsidR="005075F0">
        <w:rPr>
          <w:noProof/>
        </w:rPr>
        <w:t>h</w:t>
      </w:r>
      <w:r w:rsidR="009F266E">
        <w:rPr>
          <w:noProof/>
        </w:rPr>
        <w:t>ich are</w:t>
      </w:r>
      <w:r w:rsidRPr="00325F4F">
        <w:rPr>
          <w:noProof/>
        </w:rPr>
        <w:t xml:space="preserve"> </w:t>
      </w:r>
      <w:r w:rsidR="005E355D">
        <w:rPr>
          <w:noProof/>
        </w:rPr>
        <w:t xml:space="preserve">in </w:t>
      </w:r>
      <w:r w:rsidRPr="00325F4F">
        <w:rPr>
          <w:noProof/>
        </w:rPr>
        <w:t xml:space="preserve">the West Bank and </w:t>
      </w:r>
      <w:r w:rsidR="00EF5593">
        <w:rPr>
          <w:noProof/>
        </w:rPr>
        <w:t xml:space="preserve">the </w:t>
      </w:r>
      <w:r w:rsidR="005075F0">
        <w:rPr>
          <w:noProof/>
        </w:rPr>
        <w:t>other</w:t>
      </w:r>
      <w:r w:rsidR="00EF5593">
        <w:rPr>
          <w:noProof/>
        </w:rPr>
        <w:t xml:space="preserve"> </w:t>
      </w:r>
      <w:r w:rsidR="00426EE0">
        <w:rPr>
          <w:noProof/>
        </w:rPr>
        <w:t>2</w:t>
      </w:r>
      <w:r w:rsidRPr="00325F4F">
        <w:rPr>
          <w:noProof/>
        </w:rPr>
        <w:t xml:space="preserve"> </w:t>
      </w:r>
      <w:r w:rsidR="00EF5593">
        <w:rPr>
          <w:noProof/>
        </w:rPr>
        <w:t>are</w:t>
      </w:r>
      <w:r w:rsidR="00EF5593" w:rsidRPr="00325F4F">
        <w:rPr>
          <w:noProof/>
        </w:rPr>
        <w:t xml:space="preserve"> </w:t>
      </w:r>
      <w:r w:rsidRPr="00325F4F">
        <w:rPr>
          <w:noProof/>
        </w:rPr>
        <w:t>in Gaza Strip.</w:t>
      </w:r>
    </w:p>
    <w:p w:rsidR="005C4CFE" w:rsidRPr="00325F4F" w:rsidRDefault="005C4CFE" w:rsidP="005C4CFE">
      <w:pPr>
        <w:ind w:left="714"/>
        <w:jc w:val="both"/>
        <w:rPr>
          <w:noProof/>
        </w:rPr>
      </w:pPr>
    </w:p>
    <w:p w:rsidR="005C4CFE" w:rsidRPr="00325F4F" w:rsidRDefault="005C4CFE" w:rsidP="005C4CFE">
      <w:pPr>
        <w:jc w:val="both"/>
        <w:rPr>
          <w:b/>
          <w:bCs/>
        </w:rPr>
      </w:pPr>
      <w:r w:rsidRPr="00325F4F">
        <w:rPr>
          <w:b/>
          <w:bCs/>
        </w:rPr>
        <w:t>Relief and Social Services:</w:t>
      </w:r>
    </w:p>
    <w:p w:rsidR="005C4CFE" w:rsidRPr="00325F4F" w:rsidRDefault="005C4CFE" w:rsidP="00EF5593">
      <w:pPr>
        <w:numPr>
          <w:ilvl w:val="0"/>
          <w:numId w:val="1"/>
        </w:numPr>
        <w:ind w:left="714" w:hanging="350"/>
        <w:jc w:val="both"/>
        <w:rPr>
          <w:noProof/>
        </w:rPr>
      </w:pPr>
      <w:r w:rsidRPr="00325F4F">
        <w:rPr>
          <w:noProof/>
        </w:rPr>
        <w:t xml:space="preserve">The number of women's programs centers in Jordan, Lebanon, Syria and Palestine reached </w:t>
      </w:r>
      <w:r w:rsidR="005E3136" w:rsidRPr="00325F4F">
        <w:rPr>
          <w:noProof/>
        </w:rPr>
        <w:t>61</w:t>
      </w:r>
      <w:r w:rsidRPr="00325F4F">
        <w:rPr>
          <w:noProof/>
        </w:rPr>
        <w:t xml:space="preserve">. The number of social rehabilitation centers reached </w:t>
      </w:r>
      <w:r w:rsidR="005E3136" w:rsidRPr="00325F4F">
        <w:rPr>
          <w:noProof/>
        </w:rPr>
        <w:t>38</w:t>
      </w:r>
      <w:r w:rsidR="00EF5593">
        <w:rPr>
          <w:noProof/>
        </w:rPr>
        <w:t>.</w:t>
      </w:r>
      <w:r w:rsidR="00EF5593" w:rsidRPr="00325F4F">
        <w:rPr>
          <w:noProof/>
        </w:rPr>
        <w:t xml:space="preserve"> </w:t>
      </w:r>
      <w:r w:rsidR="00EF5593">
        <w:rPr>
          <w:noProof/>
        </w:rPr>
        <w:t>T</w:t>
      </w:r>
      <w:r w:rsidR="00EF5593" w:rsidRPr="00325F4F">
        <w:rPr>
          <w:noProof/>
        </w:rPr>
        <w:t xml:space="preserve">he </w:t>
      </w:r>
      <w:r w:rsidRPr="00325F4F">
        <w:rPr>
          <w:noProof/>
        </w:rPr>
        <w:t xml:space="preserve">number of social development centers reached </w:t>
      </w:r>
      <w:r w:rsidR="005E3136" w:rsidRPr="00325F4F">
        <w:rPr>
          <w:noProof/>
        </w:rPr>
        <w:t>14</w:t>
      </w:r>
      <w:r w:rsidRPr="00325F4F">
        <w:rPr>
          <w:noProof/>
        </w:rPr>
        <w:t xml:space="preserve">, and the funds managed by the community </w:t>
      </w:r>
      <w:r w:rsidR="005E3136" w:rsidRPr="00325F4F">
        <w:rPr>
          <w:noProof/>
        </w:rPr>
        <w:t>25</w:t>
      </w:r>
      <w:r w:rsidRPr="00325F4F">
        <w:rPr>
          <w:noProof/>
        </w:rPr>
        <w:t xml:space="preserve"> in January </w:t>
      </w:r>
      <w:r w:rsidR="005E3136" w:rsidRPr="00325F4F">
        <w:rPr>
          <w:noProof/>
        </w:rPr>
        <w:t>2018</w:t>
      </w:r>
      <w:r w:rsidRPr="00325F4F">
        <w:rPr>
          <w:noProof/>
        </w:rPr>
        <w:t xml:space="preserve">. </w:t>
      </w:r>
    </w:p>
    <w:p w:rsidR="004D74D5" w:rsidRPr="00325F4F" w:rsidRDefault="004D74D5" w:rsidP="005C4CFE">
      <w:pPr>
        <w:jc w:val="both"/>
        <w:rPr>
          <w:b/>
          <w:bCs/>
        </w:rPr>
      </w:pPr>
    </w:p>
    <w:p w:rsidR="005910AE" w:rsidRPr="00325F4F" w:rsidRDefault="005910AE" w:rsidP="00426EE0">
      <w:pPr>
        <w:pStyle w:val="ListParagraph"/>
        <w:bidi w:val="0"/>
        <w:ind w:left="0"/>
        <w:jc w:val="lowKashida"/>
        <w:rPr>
          <w:rFonts w:cs="Times New Roman"/>
          <w:b/>
          <w:bCs/>
          <w:i/>
          <w:iCs/>
          <w:sz w:val="18"/>
          <w:szCs w:val="18"/>
          <w:u w:val="single"/>
        </w:rPr>
      </w:pPr>
      <w:r w:rsidRPr="00325F4F">
        <w:rPr>
          <w:rFonts w:cs="Times New Roman"/>
          <w:b/>
          <w:bCs/>
          <w:i/>
          <w:iCs/>
          <w:sz w:val="18"/>
          <w:szCs w:val="18"/>
          <w:u w:val="single"/>
        </w:rPr>
        <w:t>For more detail</w:t>
      </w:r>
      <w:r w:rsidR="00F07E78" w:rsidRPr="00325F4F">
        <w:rPr>
          <w:rFonts w:cs="Times New Roman"/>
          <w:b/>
          <w:bCs/>
          <w:i/>
          <w:iCs/>
          <w:sz w:val="18"/>
          <w:szCs w:val="18"/>
          <w:u w:val="single"/>
        </w:rPr>
        <w:t xml:space="preserve">s on </w:t>
      </w:r>
      <w:r w:rsidRPr="00325F4F">
        <w:rPr>
          <w:rFonts w:cs="Times New Roman"/>
          <w:b/>
          <w:bCs/>
          <w:i/>
          <w:iCs/>
          <w:sz w:val="18"/>
          <w:szCs w:val="18"/>
          <w:u w:val="single"/>
        </w:rPr>
        <w:t>Palestinians in the Diaspora</w:t>
      </w:r>
      <w:r w:rsidR="00F07E78" w:rsidRPr="00325F4F">
        <w:rPr>
          <w:rFonts w:cs="Times New Roman"/>
          <w:b/>
          <w:bCs/>
          <w:i/>
          <w:iCs/>
          <w:sz w:val="18"/>
          <w:szCs w:val="18"/>
          <w:u w:val="single"/>
        </w:rPr>
        <w:t>,</w:t>
      </w:r>
      <w:r w:rsidRPr="00325F4F">
        <w:rPr>
          <w:rFonts w:cs="Times New Roman"/>
          <w:b/>
          <w:bCs/>
          <w:i/>
          <w:iCs/>
          <w:sz w:val="18"/>
          <w:szCs w:val="18"/>
          <w:u w:val="single"/>
        </w:rPr>
        <w:t xml:space="preserve"> </w:t>
      </w:r>
      <w:r w:rsidR="0037009A" w:rsidRPr="00325F4F">
        <w:rPr>
          <w:rFonts w:cs="Times New Roman"/>
          <w:b/>
          <w:bCs/>
          <w:i/>
          <w:iCs/>
          <w:sz w:val="18"/>
          <w:szCs w:val="18"/>
          <w:u w:val="single"/>
        </w:rPr>
        <w:t xml:space="preserve">see </w:t>
      </w:r>
      <w:r w:rsidR="00F07E78" w:rsidRPr="00325F4F">
        <w:rPr>
          <w:rFonts w:cs="Times New Roman"/>
          <w:b/>
          <w:bCs/>
          <w:i/>
          <w:iCs/>
          <w:sz w:val="18"/>
          <w:szCs w:val="18"/>
          <w:u w:val="single"/>
        </w:rPr>
        <w:t xml:space="preserve">the </w:t>
      </w:r>
      <w:r w:rsidR="0037009A" w:rsidRPr="00325F4F">
        <w:rPr>
          <w:rFonts w:cs="Times New Roman"/>
          <w:b/>
          <w:bCs/>
          <w:i/>
          <w:iCs/>
          <w:sz w:val="18"/>
          <w:szCs w:val="18"/>
          <w:u w:val="single"/>
        </w:rPr>
        <w:t xml:space="preserve">tables </w:t>
      </w:r>
      <w:r w:rsidRPr="00325F4F">
        <w:rPr>
          <w:rFonts w:cs="Times New Roman"/>
          <w:b/>
          <w:bCs/>
          <w:i/>
          <w:iCs/>
          <w:sz w:val="18"/>
          <w:szCs w:val="18"/>
          <w:u w:val="single"/>
        </w:rPr>
        <w:t xml:space="preserve">in chapter 3 </w:t>
      </w:r>
      <w:r w:rsidR="00F07E78" w:rsidRPr="00325F4F">
        <w:rPr>
          <w:rFonts w:cs="Times New Roman"/>
          <w:b/>
          <w:bCs/>
          <w:i/>
          <w:iCs/>
          <w:sz w:val="18"/>
          <w:szCs w:val="18"/>
          <w:u w:val="single"/>
        </w:rPr>
        <w:t>of the</w:t>
      </w:r>
      <w:r w:rsidRPr="00325F4F">
        <w:rPr>
          <w:rFonts w:cs="Times New Roman"/>
          <w:b/>
          <w:bCs/>
          <w:i/>
          <w:iCs/>
          <w:sz w:val="18"/>
          <w:szCs w:val="18"/>
          <w:u w:val="single"/>
        </w:rPr>
        <w:t xml:space="preserve"> </w:t>
      </w:r>
      <w:r w:rsidR="00654A09" w:rsidRPr="00325F4F">
        <w:rPr>
          <w:rFonts w:cs="Times New Roman"/>
          <w:b/>
          <w:bCs/>
          <w:i/>
          <w:iCs/>
          <w:sz w:val="18"/>
          <w:szCs w:val="18"/>
          <w:u w:val="single"/>
        </w:rPr>
        <w:t>Arabic</w:t>
      </w:r>
      <w:r w:rsidRPr="00325F4F">
        <w:rPr>
          <w:rFonts w:cs="Times New Roman"/>
          <w:b/>
          <w:bCs/>
          <w:i/>
          <w:iCs/>
          <w:sz w:val="18"/>
          <w:szCs w:val="18"/>
          <w:u w:val="single"/>
        </w:rPr>
        <w:t xml:space="preserve"> </w:t>
      </w:r>
      <w:r w:rsidR="00F07E78" w:rsidRPr="00325F4F">
        <w:rPr>
          <w:rFonts w:cs="Times New Roman"/>
          <w:b/>
          <w:bCs/>
          <w:i/>
          <w:iCs/>
          <w:sz w:val="18"/>
          <w:szCs w:val="18"/>
          <w:u w:val="single"/>
        </w:rPr>
        <w:t xml:space="preserve">section, </w:t>
      </w:r>
      <w:r w:rsidRPr="00325F4F">
        <w:rPr>
          <w:rFonts w:cs="Times New Roman"/>
          <w:b/>
          <w:bCs/>
          <w:i/>
          <w:iCs/>
          <w:sz w:val="18"/>
          <w:szCs w:val="18"/>
          <w:u w:val="single"/>
        </w:rPr>
        <w:t>page</w:t>
      </w:r>
      <w:r w:rsidR="00F07E78" w:rsidRPr="00325F4F">
        <w:rPr>
          <w:rFonts w:cs="Times New Roman"/>
          <w:b/>
          <w:bCs/>
          <w:i/>
          <w:iCs/>
          <w:sz w:val="18"/>
          <w:szCs w:val="18"/>
          <w:u w:val="single"/>
        </w:rPr>
        <w:t>s</w:t>
      </w:r>
      <w:r w:rsidRPr="00325F4F">
        <w:rPr>
          <w:rFonts w:cs="Times New Roman"/>
          <w:b/>
          <w:bCs/>
          <w:i/>
          <w:iCs/>
          <w:sz w:val="18"/>
          <w:szCs w:val="18"/>
          <w:u w:val="single"/>
          <w:rtl/>
        </w:rPr>
        <w:t xml:space="preserve"> </w:t>
      </w:r>
      <w:r w:rsidR="00426EE0">
        <w:rPr>
          <w:rFonts w:cs="Times New Roman"/>
          <w:b/>
          <w:bCs/>
          <w:i/>
          <w:iCs/>
          <w:sz w:val="18"/>
          <w:szCs w:val="18"/>
          <w:u w:val="single"/>
        </w:rPr>
        <w:t>269</w:t>
      </w:r>
      <w:r w:rsidRPr="00325F4F">
        <w:rPr>
          <w:rFonts w:cs="Times New Roman"/>
          <w:b/>
          <w:bCs/>
          <w:i/>
          <w:iCs/>
          <w:sz w:val="18"/>
          <w:szCs w:val="18"/>
          <w:u w:val="single"/>
        </w:rPr>
        <w:t>-</w:t>
      </w:r>
      <w:r w:rsidR="00426EE0">
        <w:rPr>
          <w:rFonts w:cs="Times New Roman"/>
          <w:b/>
          <w:bCs/>
          <w:i/>
          <w:iCs/>
          <w:sz w:val="18"/>
          <w:szCs w:val="18"/>
          <w:u w:val="single"/>
        </w:rPr>
        <w:t>290</w:t>
      </w:r>
      <w:r w:rsidR="00F07E78" w:rsidRPr="00325F4F">
        <w:rPr>
          <w:rFonts w:cs="Times New Roman"/>
          <w:b/>
          <w:bCs/>
          <w:i/>
          <w:iCs/>
          <w:sz w:val="18"/>
          <w:szCs w:val="18"/>
          <w:u w:val="single"/>
        </w:rPr>
        <w:t>.</w:t>
      </w:r>
    </w:p>
    <w:p w:rsidR="002173CB" w:rsidRPr="00325F4F" w:rsidRDefault="002173CB" w:rsidP="002173CB">
      <w:pPr>
        <w:pStyle w:val="ListParagraph"/>
        <w:bidi w:val="0"/>
        <w:ind w:left="0"/>
        <w:jc w:val="lowKashida"/>
        <w:rPr>
          <w:rFonts w:cs="Times New Roman"/>
          <w:i/>
          <w:iCs/>
          <w:sz w:val="20"/>
          <w:u w:val="single"/>
        </w:rPr>
      </w:pPr>
    </w:p>
    <w:sectPr w:rsidR="002173CB" w:rsidRPr="00325F4F" w:rsidSect="00793CB8">
      <w:headerReference w:type="default" r:id="rId28"/>
      <w:footerReference w:type="even" r:id="rId29"/>
      <w:footerReference w:type="default" r:id="rId30"/>
      <w:endnotePr>
        <w:numFmt w:val="lowerLetter"/>
      </w:endnotePr>
      <w:pgSz w:w="9639" w:h="13608" w:code="9"/>
      <w:pgMar w:top="1134" w:right="1134" w:bottom="1134" w:left="1134" w:header="680" w:footer="680" w:gutter="0"/>
      <w:pgNumType w:start="15"/>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32A6" w:rsidRDefault="008832A6">
      <w:r>
        <w:separator/>
      </w:r>
    </w:p>
  </w:endnote>
  <w:endnote w:type="continuationSeparator" w:id="0">
    <w:p w:rsidR="008832A6" w:rsidRDefault="008832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32A6" w:rsidRDefault="007E5F1A">
    <w:pPr>
      <w:pStyle w:val="Footer"/>
      <w:framePr w:wrap="around" w:vAnchor="text" w:hAnchor="margin" w:xAlign="center" w:y="1"/>
      <w:rPr>
        <w:rStyle w:val="PageNumber"/>
      </w:rPr>
    </w:pPr>
    <w:r>
      <w:rPr>
        <w:rStyle w:val="PageNumber"/>
      </w:rPr>
      <w:fldChar w:fldCharType="begin"/>
    </w:r>
    <w:r w:rsidR="008832A6">
      <w:rPr>
        <w:rStyle w:val="PageNumber"/>
      </w:rPr>
      <w:instrText xml:space="preserve">PAGE  </w:instrText>
    </w:r>
    <w:r>
      <w:rPr>
        <w:rStyle w:val="PageNumber"/>
      </w:rPr>
      <w:fldChar w:fldCharType="end"/>
    </w:r>
  </w:p>
  <w:p w:rsidR="008832A6" w:rsidRDefault="008832A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32A6" w:rsidRDefault="008832A6">
    <w:pPr>
      <w:pStyle w:val="Footer"/>
      <w:framePr w:w="522" w:wrap="around" w:vAnchor="text" w:hAnchor="margin" w:xAlign="center" w:y="12"/>
      <w:rPr>
        <w:rStyle w:val="PageNumber"/>
      </w:rPr>
    </w:pPr>
    <w:r>
      <w:rPr>
        <w:rStyle w:val="PageNumber"/>
      </w:rPr>
      <w:t>[</w:t>
    </w:r>
    <w:r w:rsidR="007E5F1A">
      <w:rPr>
        <w:rStyle w:val="PageNumber"/>
        <w:rFonts w:ascii="Arial" w:hAnsi="Arial" w:cs="Arial"/>
        <w:sz w:val="18"/>
        <w:szCs w:val="18"/>
      </w:rPr>
      <w:fldChar w:fldCharType="begin"/>
    </w:r>
    <w:r>
      <w:rPr>
        <w:rStyle w:val="PageNumber"/>
        <w:rFonts w:ascii="Arial" w:hAnsi="Arial" w:cs="Arial"/>
        <w:sz w:val="18"/>
        <w:szCs w:val="18"/>
      </w:rPr>
      <w:instrText xml:space="preserve">PAGE  </w:instrText>
    </w:r>
    <w:r w:rsidR="007E5F1A">
      <w:rPr>
        <w:rStyle w:val="PageNumber"/>
        <w:rFonts w:ascii="Arial" w:hAnsi="Arial" w:cs="Arial"/>
        <w:sz w:val="18"/>
        <w:szCs w:val="18"/>
      </w:rPr>
      <w:fldChar w:fldCharType="separate"/>
    </w:r>
    <w:r w:rsidR="00CB09FF">
      <w:rPr>
        <w:rStyle w:val="PageNumber"/>
        <w:rFonts w:ascii="Arial" w:hAnsi="Arial" w:cs="Arial"/>
        <w:noProof/>
        <w:sz w:val="18"/>
        <w:szCs w:val="18"/>
      </w:rPr>
      <w:t>27</w:t>
    </w:r>
    <w:r w:rsidR="007E5F1A">
      <w:rPr>
        <w:rStyle w:val="PageNumber"/>
        <w:rFonts w:ascii="Arial" w:hAnsi="Arial" w:cs="Arial"/>
        <w:sz w:val="18"/>
        <w:szCs w:val="18"/>
      </w:rPr>
      <w:fldChar w:fldCharType="end"/>
    </w:r>
    <w:r>
      <w:rPr>
        <w:rStyle w:val="PageNumber"/>
      </w:rPr>
      <w:t>]</w:t>
    </w:r>
  </w:p>
  <w:p w:rsidR="008832A6" w:rsidRDefault="008832A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32A6" w:rsidRDefault="008832A6">
      <w:r>
        <w:separator/>
      </w:r>
    </w:p>
  </w:footnote>
  <w:footnote w:type="continuationSeparator" w:id="0">
    <w:p w:rsidR="008832A6" w:rsidRDefault="008832A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32A6" w:rsidRPr="00940590" w:rsidRDefault="008832A6" w:rsidP="0017635F">
    <w:pPr>
      <w:pStyle w:val="Footer"/>
      <w:rPr>
        <w:sz w:val="16"/>
        <w:szCs w:val="16"/>
      </w:rPr>
    </w:pPr>
    <w:r>
      <w:rPr>
        <w:sz w:val="16"/>
      </w:rPr>
      <w:t>PCBS: Statistical Yearbook of  Palestine 2019</w:t>
    </w:r>
    <w:r>
      <w:rPr>
        <w:sz w:val="16"/>
        <w:szCs w:val="16"/>
      </w:rPr>
      <w:t xml:space="preserve">                                                                           Summary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A2CD0"/>
    <w:multiLevelType w:val="hybridMultilevel"/>
    <w:tmpl w:val="C12436A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
    <w:nsid w:val="02150D35"/>
    <w:multiLevelType w:val="hybridMultilevel"/>
    <w:tmpl w:val="D7A8C99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
    <w:nsid w:val="139A27E5"/>
    <w:multiLevelType w:val="hybridMultilevel"/>
    <w:tmpl w:val="79FAD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932F90"/>
    <w:multiLevelType w:val="hybridMultilevel"/>
    <w:tmpl w:val="BF161F64"/>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1FE4277F"/>
    <w:multiLevelType w:val="hybridMultilevel"/>
    <w:tmpl w:val="CF765A1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DD8703C"/>
    <w:multiLevelType w:val="hybridMultilevel"/>
    <w:tmpl w:val="01A8CF0A"/>
    <w:lvl w:ilvl="0" w:tplc="B04250E0">
      <w:start w:val="1"/>
      <w:numFmt w:val="decimal"/>
      <w:lvlText w:val="%1. "/>
      <w:lvlJc w:val="left"/>
      <w:pPr>
        <w:ind w:left="360" w:hanging="360"/>
      </w:pPr>
      <w:rPr>
        <w:rFonts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31CD45AD"/>
    <w:multiLevelType w:val="hybridMultilevel"/>
    <w:tmpl w:val="6AE43A2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nsid w:val="3D4B1CDF"/>
    <w:multiLevelType w:val="hybridMultilevel"/>
    <w:tmpl w:val="47DAC31C"/>
    <w:lvl w:ilvl="0" w:tplc="04010001">
      <w:start w:val="1"/>
      <w:numFmt w:val="bullet"/>
      <w:lvlText w:val=""/>
      <w:lvlJc w:val="left"/>
      <w:pPr>
        <w:tabs>
          <w:tab w:val="num" w:pos="360"/>
        </w:tabs>
        <w:ind w:left="360"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9">
    <w:nsid w:val="41EB225C"/>
    <w:multiLevelType w:val="hybridMultilevel"/>
    <w:tmpl w:val="D3AAD7F8"/>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0">
    <w:nsid w:val="4CC84C72"/>
    <w:multiLevelType w:val="hybridMultilevel"/>
    <w:tmpl w:val="F200ACF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1">
    <w:nsid w:val="56F00F86"/>
    <w:multiLevelType w:val="hybridMultilevel"/>
    <w:tmpl w:val="85C8BE56"/>
    <w:lvl w:ilvl="0" w:tplc="0401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72" w:hanging="360"/>
      </w:pPr>
      <w:rPr>
        <w:rFonts w:cs="Times New Roman"/>
      </w:rPr>
    </w:lvl>
    <w:lvl w:ilvl="2" w:tplc="0409001B" w:tentative="1">
      <w:start w:val="1"/>
      <w:numFmt w:val="lowerRoman"/>
      <w:lvlText w:val="%3."/>
      <w:lvlJc w:val="right"/>
      <w:pPr>
        <w:ind w:left="1592" w:hanging="180"/>
      </w:pPr>
      <w:rPr>
        <w:rFonts w:cs="Times New Roman"/>
      </w:rPr>
    </w:lvl>
    <w:lvl w:ilvl="3" w:tplc="0409000F" w:tentative="1">
      <w:start w:val="1"/>
      <w:numFmt w:val="decimal"/>
      <w:lvlText w:val="%4."/>
      <w:lvlJc w:val="left"/>
      <w:pPr>
        <w:ind w:left="2312" w:hanging="360"/>
      </w:pPr>
      <w:rPr>
        <w:rFonts w:cs="Times New Roman"/>
      </w:rPr>
    </w:lvl>
    <w:lvl w:ilvl="4" w:tplc="04090019" w:tentative="1">
      <w:start w:val="1"/>
      <w:numFmt w:val="lowerLetter"/>
      <w:lvlText w:val="%5."/>
      <w:lvlJc w:val="left"/>
      <w:pPr>
        <w:ind w:left="3032" w:hanging="360"/>
      </w:pPr>
      <w:rPr>
        <w:rFonts w:cs="Times New Roman"/>
      </w:rPr>
    </w:lvl>
    <w:lvl w:ilvl="5" w:tplc="0409001B" w:tentative="1">
      <w:start w:val="1"/>
      <w:numFmt w:val="lowerRoman"/>
      <w:lvlText w:val="%6."/>
      <w:lvlJc w:val="right"/>
      <w:pPr>
        <w:ind w:left="3752" w:hanging="180"/>
      </w:pPr>
      <w:rPr>
        <w:rFonts w:cs="Times New Roman"/>
      </w:rPr>
    </w:lvl>
    <w:lvl w:ilvl="6" w:tplc="0409000F" w:tentative="1">
      <w:start w:val="1"/>
      <w:numFmt w:val="decimal"/>
      <w:lvlText w:val="%7."/>
      <w:lvlJc w:val="left"/>
      <w:pPr>
        <w:ind w:left="4472" w:hanging="360"/>
      </w:pPr>
      <w:rPr>
        <w:rFonts w:cs="Times New Roman"/>
      </w:rPr>
    </w:lvl>
    <w:lvl w:ilvl="7" w:tplc="04090019" w:tentative="1">
      <w:start w:val="1"/>
      <w:numFmt w:val="lowerLetter"/>
      <w:lvlText w:val="%8."/>
      <w:lvlJc w:val="left"/>
      <w:pPr>
        <w:ind w:left="5192" w:hanging="360"/>
      </w:pPr>
      <w:rPr>
        <w:rFonts w:cs="Times New Roman"/>
      </w:rPr>
    </w:lvl>
    <w:lvl w:ilvl="8" w:tplc="0409001B" w:tentative="1">
      <w:start w:val="1"/>
      <w:numFmt w:val="lowerRoman"/>
      <w:lvlText w:val="%9."/>
      <w:lvlJc w:val="right"/>
      <w:pPr>
        <w:ind w:left="5912" w:hanging="180"/>
      </w:pPr>
      <w:rPr>
        <w:rFonts w:cs="Times New Roman"/>
      </w:rPr>
    </w:lvl>
  </w:abstractNum>
  <w:abstractNum w:abstractNumId="12">
    <w:nsid w:val="58450C69"/>
    <w:multiLevelType w:val="hybridMultilevel"/>
    <w:tmpl w:val="710EA7C0"/>
    <w:lvl w:ilvl="0" w:tplc="82240B8E">
      <w:start w:val="2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BD84833"/>
    <w:multiLevelType w:val="hybridMultilevel"/>
    <w:tmpl w:val="1D244EF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4">
    <w:nsid w:val="5D473BC0"/>
    <w:multiLevelType w:val="hybridMultilevel"/>
    <w:tmpl w:val="C298EF3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70251485"/>
    <w:multiLevelType w:val="hybridMultilevel"/>
    <w:tmpl w:val="A394FE9A"/>
    <w:lvl w:ilvl="0" w:tplc="BB3EE722">
      <w:numFmt w:val="bullet"/>
      <w:lvlText w:val=""/>
      <w:lvlJc w:val="left"/>
      <w:pPr>
        <w:ind w:left="1288" w:hanging="360"/>
      </w:pPr>
      <w:rPr>
        <w:rFonts w:ascii="Symbol" w:eastAsia="Times New Roman" w:hAnsi="Symbol"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
    <w:nsid w:val="71104B87"/>
    <w:multiLevelType w:val="hybridMultilevel"/>
    <w:tmpl w:val="AB6CC03E"/>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75FC18C3"/>
    <w:multiLevelType w:val="hybridMultilevel"/>
    <w:tmpl w:val="5448A3D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5"/>
  </w:num>
  <w:num w:numId="2">
    <w:abstractNumId w:val="14"/>
  </w:num>
  <w:num w:numId="3">
    <w:abstractNumId w:val="8"/>
  </w:num>
  <w:num w:numId="4">
    <w:abstractNumId w:val="3"/>
  </w:num>
  <w:num w:numId="5">
    <w:abstractNumId w:val="16"/>
  </w:num>
  <w:num w:numId="6">
    <w:abstractNumId w:val="10"/>
  </w:num>
  <w:num w:numId="7">
    <w:abstractNumId w:val="7"/>
  </w:num>
  <w:num w:numId="8">
    <w:abstractNumId w:val="2"/>
  </w:num>
  <w:num w:numId="9">
    <w:abstractNumId w:val="11"/>
  </w:num>
  <w:num w:numId="10">
    <w:abstractNumId w:val="4"/>
  </w:num>
  <w:num w:numId="11">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12"/>
  </w:num>
  <w:num w:numId="14">
    <w:abstractNumId w:val="0"/>
  </w:num>
  <w:num w:numId="15">
    <w:abstractNumId w:val="9"/>
  </w:num>
  <w:num w:numId="16">
    <w:abstractNumId w:val="1"/>
  </w:num>
  <w:num w:numId="17">
    <w:abstractNumId w:val="13"/>
  </w:num>
  <w:num w:numId="1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docVars>
    <w:docVar w:name="__Grammarly_42____i" w:val="H4sIAAAAAAAEAKtWckksSQxILCpxzi/NK1GyMqwFAAEhoTITAAAA"/>
    <w:docVar w:name="__Grammarly_42___1" w:val="H4sIAAAAAAAEAKtWcslP9kxRslIyNDYyMjAwNLMwNjUzMDA1MTRR0lEKTi0uzszPAykwrQUAPNOZNCwAAAA="/>
  </w:docVars>
  <w:rsids>
    <w:rsidRoot w:val="001F2744"/>
    <w:rsid w:val="000015AB"/>
    <w:rsid w:val="0000259E"/>
    <w:rsid w:val="00003109"/>
    <w:rsid w:val="0000480C"/>
    <w:rsid w:val="0000488C"/>
    <w:rsid w:val="00005108"/>
    <w:rsid w:val="00005CD1"/>
    <w:rsid w:val="0000650F"/>
    <w:rsid w:val="000106C1"/>
    <w:rsid w:val="00011A35"/>
    <w:rsid w:val="00011D0F"/>
    <w:rsid w:val="00011E19"/>
    <w:rsid w:val="0001217D"/>
    <w:rsid w:val="000128C2"/>
    <w:rsid w:val="000152A0"/>
    <w:rsid w:val="0001622B"/>
    <w:rsid w:val="000163BE"/>
    <w:rsid w:val="00017619"/>
    <w:rsid w:val="00017E1B"/>
    <w:rsid w:val="00020126"/>
    <w:rsid w:val="000211B6"/>
    <w:rsid w:val="00021836"/>
    <w:rsid w:val="00021930"/>
    <w:rsid w:val="00022054"/>
    <w:rsid w:val="00022560"/>
    <w:rsid w:val="000225D0"/>
    <w:rsid w:val="00022ED2"/>
    <w:rsid w:val="00024622"/>
    <w:rsid w:val="000249A2"/>
    <w:rsid w:val="00026CE1"/>
    <w:rsid w:val="00027209"/>
    <w:rsid w:val="00030D20"/>
    <w:rsid w:val="00031EFF"/>
    <w:rsid w:val="00034854"/>
    <w:rsid w:val="00034C15"/>
    <w:rsid w:val="00035DDA"/>
    <w:rsid w:val="00035E4B"/>
    <w:rsid w:val="000370C9"/>
    <w:rsid w:val="00040C4B"/>
    <w:rsid w:val="000414D0"/>
    <w:rsid w:val="0004150F"/>
    <w:rsid w:val="00042FE0"/>
    <w:rsid w:val="000432A2"/>
    <w:rsid w:val="000436BA"/>
    <w:rsid w:val="00043B52"/>
    <w:rsid w:val="00044754"/>
    <w:rsid w:val="000457C7"/>
    <w:rsid w:val="00045A0C"/>
    <w:rsid w:val="00045CF3"/>
    <w:rsid w:val="00047837"/>
    <w:rsid w:val="00047EAC"/>
    <w:rsid w:val="0005015E"/>
    <w:rsid w:val="00050C4D"/>
    <w:rsid w:val="00050EE4"/>
    <w:rsid w:val="00054038"/>
    <w:rsid w:val="000547E8"/>
    <w:rsid w:val="00054FF8"/>
    <w:rsid w:val="0005542D"/>
    <w:rsid w:val="00056A4C"/>
    <w:rsid w:val="00056EFF"/>
    <w:rsid w:val="00056F1F"/>
    <w:rsid w:val="00057248"/>
    <w:rsid w:val="00061A8B"/>
    <w:rsid w:val="0006485A"/>
    <w:rsid w:val="00064D21"/>
    <w:rsid w:val="000653BF"/>
    <w:rsid w:val="00066234"/>
    <w:rsid w:val="000666B9"/>
    <w:rsid w:val="0006733F"/>
    <w:rsid w:val="00067375"/>
    <w:rsid w:val="00070810"/>
    <w:rsid w:val="00071342"/>
    <w:rsid w:val="00071895"/>
    <w:rsid w:val="00071B44"/>
    <w:rsid w:val="00071EE2"/>
    <w:rsid w:val="00072214"/>
    <w:rsid w:val="000730FB"/>
    <w:rsid w:val="0007478A"/>
    <w:rsid w:val="00075F09"/>
    <w:rsid w:val="00081EDB"/>
    <w:rsid w:val="00082D3C"/>
    <w:rsid w:val="00082E45"/>
    <w:rsid w:val="00083337"/>
    <w:rsid w:val="00084AEE"/>
    <w:rsid w:val="00085277"/>
    <w:rsid w:val="00085573"/>
    <w:rsid w:val="000863F4"/>
    <w:rsid w:val="00086E73"/>
    <w:rsid w:val="000902D0"/>
    <w:rsid w:val="0009119F"/>
    <w:rsid w:val="00091DCE"/>
    <w:rsid w:val="00091ED2"/>
    <w:rsid w:val="00091FE1"/>
    <w:rsid w:val="00093168"/>
    <w:rsid w:val="00093CDA"/>
    <w:rsid w:val="00093F82"/>
    <w:rsid w:val="00094867"/>
    <w:rsid w:val="00094FD3"/>
    <w:rsid w:val="00095B20"/>
    <w:rsid w:val="0009637A"/>
    <w:rsid w:val="00097847"/>
    <w:rsid w:val="000A09DD"/>
    <w:rsid w:val="000A0A5F"/>
    <w:rsid w:val="000A2826"/>
    <w:rsid w:val="000A426B"/>
    <w:rsid w:val="000A4DED"/>
    <w:rsid w:val="000A54C4"/>
    <w:rsid w:val="000A66E8"/>
    <w:rsid w:val="000A6F09"/>
    <w:rsid w:val="000A7477"/>
    <w:rsid w:val="000B0445"/>
    <w:rsid w:val="000B1056"/>
    <w:rsid w:val="000B1364"/>
    <w:rsid w:val="000B29D8"/>
    <w:rsid w:val="000B3D9A"/>
    <w:rsid w:val="000B464B"/>
    <w:rsid w:val="000B5D0A"/>
    <w:rsid w:val="000B61E4"/>
    <w:rsid w:val="000B6AA1"/>
    <w:rsid w:val="000B6F29"/>
    <w:rsid w:val="000C06B4"/>
    <w:rsid w:val="000C0E16"/>
    <w:rsid w:val="000C1652"/>
    <w:rsid w:val="000C2FDB"/>
    <w:rsid w:val="000C3777"/>
    <w:rsid w:val="000C45BC"/>
    <w:rsid w:val="000C5EEF"/>
    <w:rsid w:val="000C5F39"/>
    <w:rsid w:val="000C5F6C"/>
    <w:rsid w:val="000C603D"/>
    <w:rsid w:val="000C6C18"/>
    <w:rsid w:val="000C724A"/>
    <w:rsid w:val="000C7D52"/>
    <w:rsid w:val="000D061C"/>
    <w:rsid w:val="000D0910"/>
    <w:rsid w:val="000D127C"/>
    <w:rsid w:val="000D1B92"/>
    <w:rsid w:val="000D1F8B"/>
    <w:rsid w:val="000D23AB"/>
    <w:rsid w:val="000D29C8"/>
    <w:rsid w:val="000D6182"/>
    <w:rsid w:val="000D67F7"/>
    <w:rsid w:val="000D6E1F"/>
    <w:rsid w:val="000E02DB"/>
    <w:rsid w:val="000E02F0"/>
    <w:rsid w:val="000E0593"/>
    <w:rsid w:val="000E1321"/>
    <w:rsid w:val="000E4CAC"/>
    <w:rsid w:val="000E54C9"/>
    <w:rsid w:val="000E5EC7"/>
    <w:rsid w:val="000E66DE"/>
    <w:rsid w:val="000E674F"/>
    <w:rsid w:val="000F0472"/>
    <w:rsid w:val="000F24DF"/>
    <w:rsid w:val="000F27D6"/>
    <w:rsid w:val="000F3D1B"/>
    <w:rsid w:val="000F44F5"/>
    <w:rsid w:val="000F596E"/>
    <w:rsid w:val="000F7498"/>
    <w:rsid w:val="00100B2A"/>
    <w:rsid w:val="00100B38"/>
    <w:rsid w:val="00100DEE"/>
    <w:rsid w:val="0010124B"/>
    <w:rsid w:val="0010154C"/>
    <w:rsid w:val="00101937"/>
    <w:rsid w:val="0010297B"/>
    <w:rsid w:val="00103712"/>
    <w:rsid w:val="0010450F"/>
    <w:rsid w:val="001047EC"/>
    <w:rsid w:val="0010658D"/>
    <w:rsid w:val="00106734"/>
    <w:rsid w:val="001113F3"/>
    <w:rsid w:val="001115AF"/>
    <w:rsid w:val="00112829"/>
    <w:rsid w:val="00113038"/>
    <w:rsid w:val="001135FE"/>
    <w:rsid w:val="0011378B"/>
    <w:rsid w:val="0011493F"/>
    <w:rsid w:val="00116F90"/>
    <w:rsid w:val="00120A84"/>
    <w:rsid w:val="00121893"/>
    <w:rsid w:val="00122AF9"/>
    <w:rsid w:val="00123CC8"/>
    <w:rsid w:val="00123D59"/>
    <w:rsid w:val="00124A92"/>
    <w:rsid w:val="00124D0C"/>
    <w:rsid w:val="001255E0"/>
    <w:rsid w:val="00131DBB"/>
    <w:rsid w:val="001323E7"/>
    <w:rsid w:val="0013290F"/>
    <w:rsid w:val="0013461D"/>
    <w:rsid w:val="001355E8"/>
    <w:rsid w:val="00136C35"/>
    <w:rsid w:val="00136C7B"/>
    <w:rsid w:val="00136CB3"/>
    <w:rsid w:val="00136F22"/>
    <w:rsid w:val="001378A2"/>
    <w:rsid w:val="00137C97"/>
    <w:rsid w:val="001402CB"/>
    <w:rsid w:val="00140A7B"/>
    <w:rsid w:val="00143B11"/>
    <w:rsid w:val="00143DDC"/>
    <w:rsid w:val="00143E37"/>
    <w:rsid w:val="00144BA5"/>
    <w:rsid w:val="00145D3D"/>
    <w:rsid w:val="00145F25"/>
    <w:rsid w:val="001471B6"/>
    <w:rsid w:val="0014747E"/>
    <w:rsid w:val="00147B13"/>
    <w:rsid w:val="00151479"/>
    <w:rsid w:val="00151705"/>
    <w:rsid w:val="00151781"/>
    <w:rsid w:val="0015181E"/>
    <w:rsid w:val="0015269E"/>
    <w:rsid w:val="00152AE1"/>
    <w:rsid w:val="00152C4D"/>
    <w:rsid w:val="0015308F"/>
    <w:rsid w:val="001533EC"/>
    <w:rsid w:val="001536CF"/>
    <w:rsid w:val="0015396D"/>
    <w:rsid w:val="001547A7"/>
    <w:rsid w:val="00155A01"/>
    <w:rsid w:val="001562EF"/>
    <w:rsid w:val="001575DF"/>
    <w:rsid w:val="001575EE"/>
    <w:rsid w:val="00160F78"/>
    <w:rsid w:val="00161B29"/>
    <w:rsid w:val="0016525E"/>
    <w:rsid w:val="00165F15"/>
    <w:rsid w:val="0017012B"/>
    <w:rsid w:val="00170FC8"/>
    <w:rsid w:val="001710EF"/>
    <w:rsid w:val="00174786"/>
    <w:rsid w:val="0017498C"/>
    <w:rsid w:val="0017635F"/>
    <w:rsid w:val="001765FC"/>
    <w:rsid w:val="001800DC"/>
    <w:rsid w:val="001804B8"/>
    <w:rsid w:val="001809D2"/>
    <w:rsid w:val="001820BE"/>
    <w:rsid w:val="001837A1"/>
    <w:rsid w:val="00183E72"/>
    <w:rsid w:val="001851F6"/>
    <w:rsid w:val="001929DE"/>
    <w:rsid w:val="00192C14"/>
    <w:rsid w:val="001933C6"/>
    <w:rsid w:val="00195ED8"/>
    <w:rsid w:val="00196D6C"/>
    <w:rsid w:val="0019762D"/>
    <w:rsid w:val="001A090C"/>
    <w:rsid w:val="001A1002"/>
    <w:rsid w:val="001A2CD9"/>
    <w:rsid w:val="001A32EE"/>
    <w:rsid w:val="001A36C7"/>
    <w:rsid w:val="001A3CD5"/>
    <w:rsid w:val="001A762F"/>
    <w:rsid w:val="001A7CA1"/>
    <w:rsid w:val="001B1777"/>
    <w:rsid w:val="001B27A0"/>
    <w:rsid w:val="001B468E"/>
    <w:rsid w:val="001B4B14"/>
    <w:rsid w:val="001B5ADF"/>
    <w:rsid w:val="001B5B74"/>
    <w:rsid w:val="001B5EAF"/>
    <w:rsid w:val="001B6A74"/>
    <w:rsid w:val="001B7799"/>
    <w:rsid w:val="001B7E25"/>
    <w:rsid w:val="001C1E25"/>
    <w:rsid w:val="001C2022"/>
    <w:rsid w:val="001C3158"/>
    <w:rsid w:val="001C3666"/>
    <w:rsid w:val="001C6114"/>
    <w:rsid w:val="001C677E"/>
    <w:rsid w:val="001C6EBE"/>
    <w:rsid w:val="001C70A9"/>
    <w:rsid w:val="001C78D5"/>
    <w:rsid w:val="001C7E56"/>
    <w:rsid w:val="001D002C"/>
    <w:rsid w:val="001D0620"/>
    <w:rsid w:val="001D0687"/>
    <w:rsid w:val="001D1072"/>
    <w:rsid w:val="001D2B22"/>
    <w:rsid w:val="001D2BFA"/>
    <w:rsid w:val="001D3101"/>
    <w:rsid w:val="001D322D"/>
    <w:rsid w:val="001D39E7"/>
    <w:rsid w:val="001D3D2C"/>
    <w:rsid w:val="001D3F93"/>
    <w:rsid w:val="001D4AEF"/>
    <w:rsid w:val="001D7B23"/>
    <w:rsid w:val="001E01DF"/>
    <w:rsid w:val="001E0D59"/>
    <w:rsid w:val="001E12D6"/>
    <w:rsid w:val="001E1456"/>
    <w:rsid w:val="001E1647"/>
    <w:rsid w:val="001E28F6"/>
    <w:rsid w:val="001E2B42"/>
    <w:rsid w:val="001E5144"/>
    <w:rsid w:val="001E51C5"/>
    <w:rsid w:val="001E670E"/>
    <w:rsid w:val="001E75CD"/>
    <w:rsid w:val="001E7870"/>
    <w:rsid w:val="001F11DC"/>
    <w:rsid w:val="001F121C"/>
    <w:rsid w:val="001F2358"/>
    <w:rsid w:val="001F2744"/>
    <w:rsid w:val="001F3A54"/>
    <w:rsid w:val="001F3DCB"/>
    <w:rsid w:val="001F4A25"/>
    <w:rsid w:val="001F4E37"/>
    <w:rsid w:val="001F57C6"/>
    <w:rsid w:val="001F679C"/>
    <w:rsid w:val="001F691C"/>
    <w:rsid w:val="001F74C6"/>
    <w:rsid w:val="002006D5"/>
    <w:rsid w:val="00200D42"/>
    <w:rsid w:val="00202785"/>
    <w:rsid w:val="00204A61"/>
    <w:rsid w:val="0020619D"/>
    <w:rsid w:val="002076DF"/>
    <w:rsid w:val="00207DA3"/>
    <w:rsid w:val="0021079C"/>
    <w:rsid w:val="00210CA8"/>
    <w:rsid w:val="002110DB"/>
    <w:rsid w:val="002115DE"/>
    <w:rsid w:val="00211DE3"/>
    <w:rsid w:val="00213390"/>
    <w:rsid w:val="0021410D"/>
    <w:rsid w:val="00214B2D"/>
    <w:rsid w:val="002154FF"/>
    <w:rsid w:val="0021610B"/>
    <w:rsid w:val="0021699B"/>
    <w:rsid w:val="00216A81"/>
    <w:rsid w:val="00216CB6"/>
    <w:rsid w:val="00216D7D"/>
    <w:rsid w:val="002173CB"/>
    <w:rsid w:val="0021776D"/>
    <w:rsid w:val="00217ABF"/>
    <w:rsid w:val="00220330"/>
    <w:rsid w:val="00220A86"/>
    <w:rsid w:val="00221A60"/>
    <w:rsid w:val="00221CF1"/>
    <w:rsid w:val="00221ED8"/>
    <w:rsid w:val="002223CF"/>
    <w:rsid w:val="0022246A"/>
    <w:rsid w:val="00222F55"/>
    <w:rsid w:val="00223297"/>
    <w:rsid w:val="00223B48"/>
    <w:rsid w:val="0022405C"/>
    <w:rsid w:val="00224C27"/>
    <w:rsid w:val="00225AC5"/>
    <w:rsid w:val="0022731B"/>
    <w:rsid w:val="002274E5"/>
    <w:rsid w:val="00230436"/>
    <w:rsid w:val="00232714"/>
    <w:rsid w:val="0023386F"/>
    <w:rsid w:val="0023449A"/>
    <w:rsid w:val="00234C75"/>
    <w:rsid w:val="00235572"/>
    <w:rsid w:val="0023575F"/>
    <w:rsid w:val="002370C0"/>
    <w:rsid w:val="0024036D"/>
    <w:rsid w:val="00240BFF"/>
    <w:rsid w:val="00240D0A"/>
    <w:rsid w:val="0024106F"/>
    <w:rsid w:val="0024191B"/>
    <w:rsid w:val="00241BFB"/>
    <w:rsid w:val="00242595"/>
    <w:rsid w:val="00242C57"/>
    <w:rsid w:val="00243C41"/>
    <w:rsid w:val="00243D35"/>
    <w:rsid w:val="00244AEA"/>
    <w:rsid w:val="00244D09"/>
    <w:rsid w:val="0024588D"/>
    <w:rsid w:val="0024656E"/>
    <w:rsid w:val="00247253"/>
    <w:rsid w:val="002475BA"/>
    <w:rsid w:val="00247A14"/>
    <w:rsid w:val="00250031"/>
    <w:rsid w:val="002514FB"/>
    <w:rsid w:val="00254951"/>
    <w:rsid w:val="00254BAB"/>
    <w:rsid w:val="00254E3E"/>
    <w:rsid w:val="00255407"/>
    <w:rsid w:val="00255560"/>
    <w:rsid w:val="00255750"/>
    <w:rsid w:val="002575BC"/>
    <w:rsid w:val="00257689"/>
    <w:rsid w:val="00257A40"/>
    <w:rsid w:val="002626AB"/>
    <w:rsid w:val="002632FA"/>
    <w:rsid w:val="00263455"/>
    <w:rsid w:val="002649CD"/>
    <w:rsid w:val="00266287"/>
    <w:rsid w:val="00266749"/>
    <w:rsid w:val="002667DE"/>
    <w:rsid w:val="002669C3"/>
    <w:rsid w:val="002678CA"/>
    <w:rsid w:val="00267A35"/>
    <w:rsid w:val="00270BFD"/>
    <w:rsid w:val="0027211E"/>
    <w:rsid w:val="00275B40"/>
    <w:rsid w:val="00275CE5"/>
    <w:rsid w:val="002767CE"/>
    <w:rsid w:val="00276CD5"/>
    <w:rsid w:val="00277240"/>
    <w:rsid w:val="00280560"/>
    <w:rsid w:val="002806F7"/>
    <w:rsid w:val="00281833"/>
    <w:rsid w:val="00283DE2"/>
    <w:rsid w:val="00284752"/>
    <w:rsid w:val="00284E7A"/>
    <w:rsid w:val="00286F02"/>
    <w:rsid w:val="0029075F"/>
    <w:rsid w:val="00291BD0"/>
    <w:rsid w:val="00292787"/>
    <w:rsid w:val="00293037"/>
    <w:rsid w:val="00293AAC"/>
    <w:rsid w:val="00294CFB"/>
    <w:rsid w:val="00296098"/>
    <w:rsid w:val="002970BC"/>
    <w:rsid w:val="002977AC"/>
    <w:rsid w:val="00297DAB"/>
    <w:rsid w:val="002A056E"/>
    <w:rsid w:val="002A1227"/>
    <w:rsid w:val="002A153E"/>
    <w:rsid w:val="002A1602"/>
    <w:rsid w:val="002A181C"/>
    <w:rsid w:val="002B0279"/>
    <w:rsid w:val="002B0B60"/>
    <w:rsid w:val="002B21CD"/>
    <w:rsid w:val="002B2E9C"/>
    <w:rsid w:val="002B408A"/>
    <w:rsid w:val="002B4358"/>
    <w:rsid w:val="002B59C8"/>
    <w:rsid w:val="002B5BBC"/>
    <w:rsid w:val="002B6D87"/>
    <w:rsid w:val="002B6D9E"/>
    <w:rsid w:val="002B6F8E"/>
    <w:rsid w:val="002B6FBB"/>
    <w:rsid w:val="002B7837"/>
    <w:rsid w:val="002B7994"/>
    <w:rsid w:val="002C0B20"/>
    <w:rsid w:val="002C0C27"/>
    <w:rsid w:val="002C1706"/>
    <w:rsid w:val="002C181A"/>
    <w:rsid w:val="002C1DC7"/>
    <w:rsid w:val="002C203F"/>
    <w:rsid w:val="002C239F"/>
    <w:rsid w:val="002C3479"/>
    <w:rsid w:val="002C3589"/>
    <w:rsid w:val="002C3725"/>
    <w:rsid w:val="002C4BB1"/>
    <w:rsid w:val="002C5122"/>
    <w:rsid w:val="002C6646"/>
    <w:rsid w:val="002C6B04"/>
    <w:rsid w:val="002D0291"/>
    <w:rsid w:val="002D2740"/>
    <w:rsid w:val="002D27D0"/>
    <w:rsid w:val="002D3119"/>
    <w:rsid w:val="002D4A3D"/>
    <w:rsid w:val="002D4B94"/>
    <w:rsid w:val="002D5736"/>
    <w:rsid w:val="002D7132"/>
    <w:rsid w:val="002E0DFC"/>
    <w:rsid w:val="002E1695"/>
    <w:rsid w:val="002E31D0"/>
    <w:rsid w:val="002E416B"/>
    <w:rsid w:val="002E429B"/>
    <w:rsid w:val="002E464F"/>
    <w:rsid w:val="002E55CA"/>
    <w:rsid w:val="002E5A85"/>
    <w:rsid w:val="002E6102"/>
    <w:rsid w:val="002E61DA"/>
    <w:rsid w:val="002E61F0"/>
    <w:rsid w:val="002E767E"/>
    <w:rsid w:val="002E77CD"/>
    <w:rsid w:val="002F0183"/>
    <w:rsid w:val="002F05C0"/>
    <w:rsid w:val="002F09D0"/>
    <w:rsid w:val="002F2337"/>
    <w:rsid w:val="002F3F43"/>
    <w:rsid w:val="002F534C"/>
    <w:rsid w:val="002F6423"/>
    <w:rsid w:val="002F6DE5"/>
    <w:rsid w:val="003019B4"/>
    <w:rsid w:val="0030277E"/>
    <w:rsid w:val="00302C09"/>
    <w:rsid w:val="00304BD0"/>
    <w:rsid w:val="003065D4"/>
    <w:rsid w:val="003066A7"/>
    <w:rsid w:val="00307709"/>
    <w:rsid w:val="00310097"/>
    <w:rsid w:val="0031021A"/>
    <w:rsid w:val="00310246"/>
    <w:rsid w:val="00310703"/>
    <w:rsid w:val="00310AD8"/>
    <w:rsid w:val="003115C9"/>
    <w:rsid w:val="00313648"/>
    <w:rsid w:val="00313EC0"/>
    <w:rsid w:val="003140B4"/>
    <w:rsid w:val="003145A4"/>
    <w:rsid w:val="00315739"/>
    <w:rsid w:val="003159CE"/>
    <w:rsid w:val="00316F33"/>
    <w:rsid w:val="003202DB"/>
    <w:rsid w:val="003203D2"/>
    <w:rsid w:val="00320722"/>
    <w:rsid w:val="00322374"/>
    <w:rsid w:val="0032238A"/>
    <w:rsid w:val="00322601"/>
    <w:rsid w:val="003233AA"/>
    <w:rsid w:val="003234F3"/>
    <w:rsid w:val="003235DA"/>
    <w:rsid w:val="00323648"/>
    <w:rsid w:val="00323A9A"/>
    <w:rsid w:val="00324085"/>
    <w:rsid w:val="00325F4F"/>
    <w:rsid w:val="003265C1"/>
    <w:rsid w:val="00327ACB"/>
    <w:rsid w:val="003307CD"/>
    <w:rsid w:val="00331B49"/>
    <w:rsid w:val="00332048"/>
    <w:rsid w:val="00332980"/>
    <w:rsid w:val="00335779"/>
    <w:rsid w:val="003362D3"/>
    <w:rsid w:val="0033655E"/>
    <w:rsid w:val="00337476"/>
    <w:rsid w:val="00337EA8"/>
    <w:rsid w:val="00340044"/>
    <w:rsid w:val="0034011E"/>
    <w:rsid w:val="0034017C"/>
    <w:rsid w:val="00342B75"/>
    <w:rsid w:val="00343AF8"/>
    <w:rsid w:val="00345ADA"/>
    <w:rsid w:val="003475DB"/>
    <w:rsid w:val="0035336D"/>
    <w:rsid w:val="00354BB4"/>
    <w:rsid w:val="00354F1F"/>
    <w:rsid w:val="0035714C"/>
    <w:rsid w:val="0035783F"/>
    <w:rsid w:val="00357C35"/>
    <w:rsid w:val="00360305"/>
    <w:rsid w:val="00362707"/>
    <w:rsid w:val="00362F13"/>
    <w:rsid w:val="003632E1"/>
    <w:rsid w:val="003636DC"/>
    <w:rsid w:val="00363918"/>
    <w:rsid w:val="00363A27"/>
    <w:rsid w:val="003640B2"/>
    <w:rsid w:val="00365FAA"/>
    <w:rsid w:val="003667BF"/>
    <w:rsid w:val="0037009A"/>
    <w:rsid w:val="003706DE"/>
    <w:rsid w:val="00371581"/>
    <w:rsid w:val="003715A5"/>
    <w:rsid w:val="0037184A"/>
    <w:rsid w:val="00373902"/>
    <w:rsid w:val="00373FAB"/>
    <w:rsid w:val="00374E23"/>
    <w:rsid w:val="00375AB4"/>
    <w:rsid w:val="00375BB8"/>
    <w:rsid w:val="003764AD"/>
    <w:rsid w:val="003775B1"/>
    <w:rsid w:val="0037768C"/>
    <w:rsid w:val="00377785"/>
    <w:rsid w:val="00380F9D"/>
    <w:rsid w:val="00381FD6"/>
    <w:rsid w:val="00382641"/>
    <w:rsid w:val="00382A28"/>
    <w:rsid w:val="00383330"/>
    <w:rsid w:val="003834A2"/>
    <w:rsid w:val="00383923"/>
    <w:rsid w:val="00383AFC"/>
    <w:rsid w:val="003851F1"/>
    <w:rsid w:val="0038645D"/>
    <w:rsid w:val="00386641"/>
    <w:rsid w:val="00392B31"/>
    <w:rsid w:val="00392B88"/>
    <w:rsid w:val="00392CBC"/>
    <w:rsid w:val="003936AC"/>
    <w:rsid w:val="0039372B"/>
    <w:rsid w:val="003940C7"/>
    <w:rsid w:val="00395E0B"/>
    <w:rsid w:val="00396BC1"/>
    <w:rsid w:val="00397ECB"/>
    <w:rsid w:val="003A0054"/>
    <w:rsid w:val="003A0BA2"/>
    <w:rsid w:val="003A0CEF"/>
    <w:rsid w:val="003A186C"/>
    <w:rsid w:val="003A24FC"/>
    <w:rsid w:val="003A2705"/>
    <w:rsid w:val="003A2BC6"/>
    <w:rsid w:val="003A335B"/>
    <w:rsid w:val="003A3451"/>
    <w:rsid w:val="003A37AA"/>
    <w:rsid w:val="003A3E4C"/>
    <w:rsid w:val="003A4C52"/>
    <w:rsid w:val="003A59C1"/>
    <w:rsid w:val="003A5BFA"/>
    <w:rsid w:val="003A7749"/>
    <w:rsid w:val="003B05A9"/>
    <w:rsid w:val="003B0688"/>
    <w:rsid w:val="003B0918"/>
    <w:rsid w:val="003B2866"/>
    <w:rsid w:val="003B32EA"/>
    <w:rsid w:val="003B446A"/>
    <w:rsid w:val="003B59B1"/>
    <w:rsid w:val="003B61E4"/>
    <w:rsid w:val="003B7051"/>
    <w:rsid w:val="003B7076"/>
    <w:rsid w:val="003C0114"/>
    <w:rsid w:val="003C0168"/>
    <w:rsid w:val="003C1A4E"/>
    <w:rsid w:val="003C27F3"/>
    <w:rsid w:val="003C2A27"/>
    <w:rsid w:val="003C35FF"/>
    <w:rsid w:val="003C4FF7"/>
    <w:rsid w:val="003C5BE2"/>
    <w:rsid w:val="003C6808"/>
    <w:rsid w:val="003C6E13"/>
    <w:rsid w:val="003C6F02"/>
    <w:rsid w:val="003D120E"/>
    <w:rsid w:val="003D5424"/>
    <w:rsid w:val="003D6A54"/>
    <w:rsid w:val="003D7780"/>
    <w:rsid w:val="003D79DE"/>
    <w:rsid w:val="003E06A1"/>
    <w:rsid w:val="003E0C48"/>
    <w:rsid w:val="003E13D7"/>
    <w:rsid w:val="003E4CA5"/>
    <w:rsid w:val="003E50BD"/>
    <w:rsid w:val="003E58F6"/>
    <w:rsid w:val="003E6F05"/>
    <w:rsid w:val="003E7079"/>
    <w:rsid w:val="003E7751"/>
    <w:rsid w:val="003E7B2E"/>
    <w:rsid w:val="003F0986"/>
    <w:rsid w:val="003F278D"/>
    <w:rsid w:val="003F2855"/>
    <w:rsid w:val="003F2B8D"/>
    <w:rsid w:val="003F41CF"/>
    <w:rsid w:val="003F4F0D"/>
    <w:rsid w:val="003F5771"/>
    <w:rsid w:val="003F6A00"/>
    <w:rsid w:val="003F6F59"/>
    <w:rsid w:val="004000BB"/>
    <w:rsid w:val="004001BC"/>
    <w:rsid w:val="00401B52"/>
    <w:rsid w:val="00402E9F"/>
    <w:rsid w:val="00402F39"/>
    <w:rsid w:val="004032A8"/>
    <w:rsid w:val="0040351E"/>
    <w:rsid w:val="004038F2"/>
    <w:rsid w:val="004046B2"/>
    <w:rsid w:val="00404CEC"/>
    <w:rsid w:val="00405A6A"/>
    <w:rsid w:val="00405C3C"/>
    <w:rsid w:val="00407312"/>
    <w:rsid w:val="00407786"/>
    <w:rsid w:val="0041233E"/>
    <w:rsid w:val="004130C3"/>
    <w:rsid w:val="004144D6"/>
    <w:rsid w:val="004200AD"/>
    <w:rsid w:val="004219AF"/>
    <w:rsid w:val="004224DA"/>
    <w:rsid w:val="00423529"/>
    <w:rsid w:val="004243CF"/>
    <w:rsid w:val="00424569"/>
    <w:rsid w:val="00424F70"/>
    <w:rsid w:val="00426EE0"/>
    <w:rsid w:val="0042796D"/>
    <w:rsid w:val="00427B05"/>
    <w:rsid w:val="004304CD"/>
    <w:rsid w:val="00431046"/>
    <w:rsid w:val="00431269"/>
    <w:rsid w:val="004320A6"/>
    <w:rsid w:val="00433353"/>
    <w:rsid w:val="0043358A"/>
    <w:rsid w:val="004339B5"/>
    <w:rsid w:val="00433D05"/>
    <w:rsid w:val="0043477E"/>
    <w:rsid w:val="00435E73"/>
    <w:rsid w:val="004360BF"/>
    <w:rsid w:val="00437604"/>
    <w:rsid w:val="004402D8"/>
    <w:rsid w:val="00440D1E"/>
    <w:rsid w:val="0044309F"/>
    <w:rsid w:val="004433F1"/>
    <w:rsid w:val="0044376A"/>
    <w:rsid w:val="00443F3F"/>
    <w:rsid w:val="00444CAC"/>
    <w:rsid w:val="0044506A"/>
    <w:rsid w:val="004466EC"/>
    <w:rsid w:val="004519D4"/>
    <w:rsid w:val="00451E35"/>
    <w:rsid w:val="00451F6B"/>
    <w:rsid w:val="00452C0A"/>
    <w:rsid w:val="004531E5"/>
    <w:rsid w:val="00453D69"/>
    <w:rsid w:val="004540C3"/>
    <w:rsid w:val="00454622"/>
    <w:rsid w:val="00454844"/>
    <w:rsid w:val="0045625E"/>
    <w:rsid w:val="00456A8A"/>
    <w:rsid w:val="00456F8D"/>
    <w:rsid w:val="0045773F"/>
    <w:rsid w:val="00460B5B"/>
    <w:rsid w:val="0046185E"/>
    <w:rsid w:val="00461937"/>
    <w:rsid w:val="00461A2E"/>
    <w:rsid w:val="00461F53"/>
    <w:rsid w:val="00462839"/>
    <w:rsid w:val="0046361B"/>
    <w:rsid w:val="004642B0"/>
    <w:rsid w:val="004654EC"/>
    <w:rsid w:val="00465928"/>
    <w:rsid w:val="00465E4F"/>
    <w:rsid w:val="0046752A"/>
    <w:rsid w:val="00471101"/>
    <w:rsid w:val="0047128E"/>
    <w:rsid w:val="0047205F"/>
    <w:rsid w:val="004724D5"/>
    <w:rsid w:val="00473F2D"/>
    <w:rsid w:val="004756FF"/>
    <w:rsid w:val="00476FBF"/>
    <w:rsid w:val="00481636"/>
    <w:rsid w:val="00481B9E"/>
    <w:rsid w:val="00481E9C"/>
    <w:rsid w:val="00485D10"/>
    <w:rsid w:val="00486336"/>
    <w:rsid w:val="00486345"/>
    <w:rsid w:val="00490556"/>
    <w:rsid w:val="00490E63"/>
    <w:rsid w:val="004911B5"/>
    <w:rsid w:val="00491633"/>
    <w:rsid w:val="00492F7A"/>
    <w:rsid w:val="004931BB"/>
    <w:rsid w:val="00493418"/>
    <w:rsid w:val="00493CAB"/>
    <w:rsid w:val="004945D8"/>
    <w:rsid w:val="00494BA7"/>
    <w:rsid w:val="004959C4"/>
    <w:rsid w:val="00495C6D"/>
    <w:rsid w:val="00496346"/>
    <w:rsid w:val="0049664F"/>
    <w:rsid w:val="00497904"/>
    <w:rsid w:val="00497C9A"/>
    <w:rsid w:val="004A0CDC"/>
    <w:rsid w:val="004A0DFF"/>
    <w:rsid w:val="004A1DA4"/>
    <w:rsid w:val="004A2C49"/>
    <w:rsid w:val="004A4C84"/>
    <w:rsid w:val="004A4EF6"/>
    <w:rsid w:val="004A530C"/>
    <w:rsid w:val="004A63C4"/>
    <w:rsid w:val="004A7881"/>
    <w:rsid w:val="004B0720"/>
    <w:rsid w:val="004B0842"/>
    <w:rsid w:val="004B0F81"/>
    <w:rsid w:val="004B10B0"/>
    <w:rsid w:val="004B147B"/>
    <w:rsid w:val="004B15B8"/>
    <w:rsid w:val="004B1965"/>
    <w:rsid w:val="004B3DF8"/>
    <w:rsid w:val="004B480C"/>
    <w:rsid w:val="004B6380"/>
    <w:rsid w:val="004B7662"/>
    <w:rsid w:val="004C1638"/>
    <w:rsid w:val="004C1713"/>
    <w:rsid w:val="004C1761"/>
    <w:rsid w:val="004C1793"/>
    <w:rsid w:val="004C1FDF"/>
    <w:rsid w:val="004C22FD"/>
    <w:rsid w:val="004C28E6"/>
    <w:rsid w:val="004C3FF3"/>
    <w:rsid w:val="004C43C7"/>
    <w:rsid w:val="004C5FD1"/>
    <w:rsid w:val="004C6BDD"/>
    <w:rsid w:val="004C75AA"/>
    <w:rsid w:val="004C7D92"/>
    <w:rsid w:val="004C7EF6"/>
    <w:rsid w:val="004D174C"/>
    <w:rsid w:val="004D35F9"/>
    <w:rsid w:val="004D3747"/>
    <w:rsid w:val="004D4069"/>
    <w:rsid w:val="004D46F8"/>
    <w:rsid w:val="004D498A"/>
    <w:rsid w:val="004D4D8B"/>
    <w:rsid w:val="004D5716"/>
    <w:rsid w:val="004D74D5"/>
    <w:rsid w:val="004D799A"/>
    <w:rsid w:val="004D7F69"/>
    <w:rsid w:val="004D7F6F"/>
    <w:rsid w:val="004E088A"/>
    <w:rsid w:val="004E1D7F"/>
    <w:rsid w:val="004E21FA"/>
    <w:rsid w:val="004E2515"/>
    <w:rsid w:val="004E2C7F"/>
    <w:rsid w:val="004E37A9"/>
    <w:rsid w:val="004E3C65"/>
    <w:rsid w:val="004E40E0"/>
    <w:rsid w:val="004E4388"/>
    <w:rsid w:val="004E4E14"/>
    <w:rsid w:val="004E5148"/>
    <w:rsid w:val="004E5676"/>
    <w:rsid w:val="004E66EB"/>
    <w:rsid w:val="004E6A8F"/>
    <w:rsid w:val="004E6BB8"/>
    <w:rsid w:val="004E7170"/>
    <w:rsid w:val="004E76FB"/>
    <w:rsid w:val="004F14AE"/>
    <w:rsid w:val="004F1987"/>
    <w:rsid w:val="004F22EF"/>
    <w:rsid w:val="004F26B2"/>
    <w:rsid w:val="004F27E2"/>
    <w:rsid w:val="004F2A9F"/>
    <w:rsid w:val="004F3968"/>
    <w:rsid w:val="004F40A0"/>
    <w:rsid w:val="004F4FD5"/>
    <w:rsid w:val="004F6AFD"/>
    <w:rsid w:val="004F7316"/>
    <w:rsid w:val="004F78ED"/>
    <w:rsid w:val="004F7E97"/>
    <w:rsid w:val="005041AB"/>
    <w:rsid w:val="0050458D"/>
    <w:rsid w:val="005051C1"/>
    <w:rsid w:val="0050539C"/>
    <w:rsid w:val="00505688"/>
    <w:rsid w:val="005075F0"/>
    <w:rsid w:val="00507812"/>
    <w:rsid w:val="00507D5D"/>
    <w:rsid w:val="00511744"/>
    <w:rsid w:val="00513252"/>
    <w:rsid w:val="00513495"/>
    <w:rsid w:val="00513745"/>
    <w:rsid w:val="00514489"/>
    <w:rsid w:val="00514E4A"/>
    <w:rsid w:val="00515132"/>
    <w:rsid w:val="00515693"/>
    <w:rsid w:val="00516EF5"/>
    <w:rsid w:val="005172CE"/>
    <w:rsid w:val="005201A7"/>
    <w:rsid w:val="00520CA1"/>
    <w:rsid w:val="005223F2"/>
    <w:rsid w:val="00522C0E"/>
    <w:rsid w:val="00522CD0"/>
    <w:rsid w:val="00524A88"/>
    <w:rsid w:val="00525655"/>
    <w:rsid w:val="00525669"/>
    <w:rsid w:val="00525D54"/>
    <w:rsid w:val="005267B8"/>
    <w:rsid w:val="00527986"/>
    <w:rsid w:val="005300B4"/>
    <w:rsid w:val="00530106"/>
    <w:rsid w:val="005305C1"/>
    <w:rsid w:val="00530AED"/>
    <w:rsid w:val="00532348"/>
    <w:rsid w:val="0053270D"/>
    <w:rsid w:val="00534563"/>
    <w:rsid w:val="00534F58"/>
    <w:rsid w:val="005356E0"/>
    <w:rsid w:val="00535C8E"/>
    <w:rsid w:val="005369B2"/>
    <w:rsid w:val="00536F59"/>
    <w:rsid w:val="0053754C"/>
    <w:rsid w:val="005379F4"/>
    <w:rsid w:val="00541629"/>
    <w:rsid w:val="00541634"/>
    <w:rsid w:val="0054211F"/>
    <w:rsid w:val="00542338"/>
    <w:rsid w:val="0054246F"/>
    <w:rsid w:val="00543C36"/>
    <w:rsid w:val="00544396"/>
    <w:rsid w:val="0054580F"/>
    <w:rsid w:val="00545861"/>
    <w:rsid w:val="00545B6B"/>
    <w:rsid w:val="00546837"/>
    <w:rsid w:val="005525DD"/>
    <w:rsid w:val="00552702"/>
    <w:rsid w:val="00553F17"/>
    <w:rsid w:val="00553F6F"/>
    <w:rsid w:val="005543C0"/>
    <w:rsid w:val="005546C6"/>
    <w:rsid w:val="00554881"/>
    <w:rsid w:val="00560460"/>
    <w:rsid w:val="00561192"/>
    <w:rsid w:val="00562033"/>
    <w:rsid w:val="0056464E"/>
    <w:rsid w:val="0056479E"/>
    <w:rsid w:val="005650E2"/>
    <w:rsid w:val="00570E41"/>
    <w:rsid w:val="0057165A"/>
    <w:rsid w:val="00571A8D"/>
    <w:rsid w:val="00571A8F"/>
    <w:rsid w:val="00572F5F"/>
    <w:rsid w:val="00573C4D"/>
    <w:rsid w:val="00574101"/>
    <w:rsid w:val="0057496E"/>
    <w:rsid w:val="00575025"/>
    <w:rsid w:val="00575185"/>
    <w:rsid w:val="00575362"/>
    <w:rsid w:val="005756A6"/>
    <w:rsid w:val="00575708"/>
    <w:rsid w:val="00575A5D"/>
    <w:rsid w:val="0057632D"/>
    <w:rsid w:val="005763BE"/>
    <w:rsid w:val="005779E5"/>
    <w:rsid w:val="00580A13"/>
    <w:rsid w:val="00580D42"/>
    <w:rsid w:val="0058300A"/>
    <w:rsid w:val="00583D7A"/>
    <w:rsid w:val="005846DD"/>
    <w:rsid w:val="00585CE9"/>
    <w:rsid w:val="00587175"/>
    <w:rsid w:val="00587632"/>
    <w:rsid w:val="005878C8"/>
    <w:rsid w:val="00587A80"/>
    <w:rsid w:val="005903E2"/>
    <w:rsid w:val="00590A97"/>
    <w:rsid w:val="005910AE"/>
    <w:rsid w:val="00592277"/>
    <w:rsid w:val="00592B2E"/>
    <w:rsid w:val="0059314B"/>
    <w:rsid w:val="00593EEA"/>
    <w:rsid w:val="00593FDB"/>
    <w:rsid w:val="00594760"/>
    <w:rsid w:val="005958D0"/>
    <w:rsid w:val="00596F4D"/>
    <w:rsid w:val="00597CCD"/>
    <w:rsid w:val="005A0462"/>
    <w:rsid w:val="005A04E9"/>
    <w:rsid w:val="005A0B49"/>
    <w:rsid w:val="005A0E60"/>
    <w:rsid w:val="005A1C2A"/>
    <w:rsid w:val="005A1CA1"/>
    <w:rsid w:val="005A3F02"/>
    <w:rsid w:val="005A4A90"/>
    <w:rsid w:val="005A5E9C"/>
    <w:rsid w:val="005A7745"/>
    <w:rsid w:val="005B1240"/>
    <w:rsid w:val="005B13F7"/>
    <w:rsid w:val="005B1466"/>
    <w:rsid w:val="005B1CAE"/>
    <w:rsid w:val="005B2552"/>
    <w:rsid w:val="005B2DFF"/>
    <w:rsid w:val="005B326E"/>
    <w:rsid w:val="005B4E65"/>
    <w:rsid w:val="005B5FA2"/>
    <w:rsid w:val="005B679B"/>
    <w:rsid w:val="005B77BB"/>
    <w:rsid w:val="005C0043"/>
    <w:rsid w:val="005C0B68"/>
    <w:rsid w:val="005C4373"/>
    <w:rsid w:val="005C4CFE"/>
    <w:rsid w:val="005C68BC"/>
    <w:rsid w:val="005C6960"/>
    <w:rsid w:val="005C6F28"/>
    <w:rsid w:val="005D17B4"/>
    <w:rsid w:val="005D3E1E"/>
    <w:rsid w:val="005D425C"/>
    <w:rsid w:val="005D42A6"/>
    <w:rsid w:val="005D438D"/>
    <w:rsid w:val="005D58E5"/>
    <w:rsid w:val="005D59EF"/>
    <w:rsid w:val="005E059A"/>
    <w:rsid w:val="005E06E9"/>
    <w:rsid w:val="005E0A94"/>
    <w:rsid w:val="005E1639"/>
    <w:rsid w:val="005E1C51"/>
    <w:rsid w:val="005E3136"/>
    <w:rsid w:val="005E355D"/>
    <w:rsid w:val="005E547F"/>
    <w:rsid w:val="005E5669"/>
    <w:rsid w:val="005E602E"/>
    <w:rsid w:val="005E6CA6"/>
    <w:rsid w:val="005F04D7"/>
    <w:rsid w:val="005F2A7D"/>
    <w:rsid w:val="005F3DB3"/>
    <w:rsid w:val="005F6984"/>
    <w:rsid w:val="005F6BD9"/>
    <w:rsid w:val="005F74A7"/>
    <w:rsid w:val="00600BEF"/>
    <w:rsid w:val="00602688"/>
    <w:rsid w:val="0060287C"/>
    <w:rsid w:val="006029E9"/>
    <w:rsid w:val="00602D77"/>
    <w:rsid w:val="0060385D"/>
    <w:rsid w:val="00603D68"/>
    <w:rsid w:val="00603E65"/>
    <w:rsid w:val="00604554"/>
    <w:rsid w:val="0060517A"/>
    <w:rsid w:val="006064AB"/>
    <w:rsid w:val="006064E5"/>
    <w:rsid w:val="00606882"/>
    <w:rsid w:val="00607032"/>
    <w:rsid w:val="00607095"/>
    <w:rsid w:val="00607221"/>
    <w:rsid w:val="00610B44"/>
    <w:rsid w:val="00611FA5"/>
    <w:rsid w:val="006124BA"/>
    <w:rsid w:val="00612A14"/>
    <w:rsid w:val="00612BA7"/>
    <w:rsid w:val="00612C88"/>
    <w:rsid w:val="006131A9"/>
    <w:rsid w:val="00613D4B"/>
    <w:rsid w:val="00614845"/>
    <w:rsid w:val="00615A7D"/>
    <w:rsid w:val="00616C77"/>
    <w:rsid w:val="006174CE"/>
    <w:rsid w:val="00617D2D"/>
    <w:rsid w:val="00620154"/>
    <w:rsid w:val="006205E3"/>
    <w:rsid w:val="00620D12"/>
    <w:rsid w:val="0062122C"/>
    <w:rsid w:val="00621EBA"/>
    <w:rsid w:val="0062241A"/>
    <w:rsid w:val="00622CC1"/>
    <w:rsid w:val="00624988"/>
    <w:rsid w:val="0063026A"/>
    <w:rsid w:val="006304DF"/>
    <w:rsid w:val="00631F7C"/>
    <w:rsid w:val="006324BE"/>
    <w:rsid w:val="00632B94"/>
    <w:rsid w:val="00633F58"/>
    <w:rsid w:val="00635580"/>
    <w:rsid w:val="0063585C"/>
    <w:rsid w:val="00635987"/>
    <w:rsid w:val="006418EE"/>
    <w:rsid w:val="006422EF"/>
    <w:rsid w:val="006426A1"/>
    <w:rsid w:val="00642BE1"/>
    <w:rsid w:val="00643687"/>
    <w:rsid w:val="00644425"/>
    <w:rsid w:val="006478C9"/>
    <w:rsid w:val="0064798F"/>
    <w:rsid w:val="006519A9"/>
    <w:rsid w:val="006520C5"/>
    <w:rsid w:val="00653C1C"/>
    <w:rsid w:val="0065477F"/>
    <w:rsid w:val="00654A09"/>
    <w:rsid w:val="0065586C"/>
    <w:rsid w:val="006569AF"/>
    <w:rsid w:val="00657DBE"/>
    <w:rsid w:val="00662BC1"/>
    <w:rsid w:val="0066334F"/>
    <w:rsid w:val="00663965"/>
    <w:rsid w:val="0066531E"/>
    <w:rsid w:val="00666B9E"/>
    <w:rsid w:val="00671E0F"/>
    <w:rsid w:val="00672F17"/>
    <w:rsid w:val="00672FDC"/>
    <w:rsid w:val="00673520"/>
    <w:rsid w:val="0067374A"/>
    <w:rsid w:val="00673C1C"/>
    <w:rsid w:val="00674237"/>
    <w:rsid w:val="0067653E"/>
    <w:rsid w:val="00677EA8"/>
    <w:rsid w:val="006800FD"/>
    <w:rsid w:val="00680941"/>
    <w:rsid w:val="00680CE9"/>
    <w:rsid w:val="006820FF"/>
    <w:rsid w:val="00682FC1"/>
    <w:rsid w:val="006835F2"/>
    <w:rsid w:val="006838D4"/>
    <w:rsid w:val="006838D6"/>
    <w:rsid w:val="00683FFC"/>
    <w:rsid w:val="006853EF"/>
    <w:rsid w:val="006868A7"/>
    <w:rsid w:val="0068756D"/>
    <w:rsid w:val="0069024A"/>
    <w:rsid w:val="00690A10"/>
    <w:rsid w:val="006941CB"/>
    <w:rsid w:val="00694809"/>
    <w:rsid w:val="006948D5"/>
    <w:rsid w:val="00695A62"/>
    <w:rsid w:val="0069760D"/>
    <w:rsid w:val="00697BC4"/>
    <w:rsid w:val="006A1089"/>
    <w:rsid w:val="006A16F2"/>
    <w:rsid w:val="006A1BCD"/>
    <w:rsid w:val="006A3880"/>
    <w:rsid w:val="006A3BB8"/>
    <w:rsid w:val="006A43F2"/>
    <w:rsid w:val="006A480D"/>
    <w:rsid w:val="006A56BF"/>
    <w:rsid w:val="006A6653"/>
    <w:rsid w:val="006A6BA2"/>
    <w:rsid w:val="006A7C25"/>
    <w:rsid w:val="006B100D"/>
    <w:rsid w:val="006B1236"/>
    <w:rsid w:val="006B1447"/>
    <w:rsid w:val="006B14B4"/>
    <w:rsid w:val="006B2FD7"/>
    <w:rsid w:val="006B3024"/>
    <w:rsid w:val="006B30B7"/>
    <w:rsid w:val="006B37B7"/>
    <w:rsid w:val="006B6718"/>
    <w:rsid w:val="006B688E"/>
    <w:rsid w:val="006B787D"/>
    <w:rsid w:val="006C05EF"/>
    <w:rsid w:val="006C0C7B"/>
    <w:rsid w:val="006C10C4"/>
    <w:rsid w:val="006C168E"/>
    <w:rsid w:val="006C2B36"/>
    <w:rsid w:val="006C2E27"/>
    <w:rsid w:val="006C3320"/>
    <w:rsid w:val="006C389D"/>
    <w:rsid w:val="006C393D"/>
    <w:rsid w:val="006C40EA"/>
    <w:rsid w:val="006C456B"/>
    <w:rsid w:val="006C4981"/>
    <w:rsid w:val="006C655C"/>
    <w:rsid w:val="006D00AB"/>
    <w:rsid w:val="006D0475"/>
    <w:rsid w:val="006D1D65"/>
    <w:rsid w:val="006D40DE"/>
    <w:rsid w:val="006D4404"/>
    <w:rsid w:val="006D47EA"/>
    <w:rsid w:val="006D488A"/>
    <w:rsid w:val="006D5C4C"/>
    <w:rsid w:val="006D5CA8"/>
    <w:rsid w:val="006D63DB"/>
    <w:rsid w:val="006D6B66"/>
    <w:rsid w:val="006D7EB6"/>
    <w:rsid w:val="006E182A"/>
    <w:rsid w:val="006E21E3"/>
    <w:rsid w:val="006E34F7"/>
    <w:rsid w:val="006E4A07"/>
    <w:rsid w:val="006E4D15"/>
    <w:rsid w:val="006E5A0C"/>
    <w:rsid w:val="006E5AF5"/>
    <w:rsid w:val="006E669F"/>
    <w:rsid w:val="006E793C"/>
    <w:rsid w:val="006E7AA6"/>
    <w:rsid w:val="006F0783"/>
    <w:rsid w:val="006F0817"/>
    <w:rsid w:val="006F2372"/>
    <w:rsid w:val="006F454B"/>
    <w:rsid w:val="006F47BC"/>
    <w:rsid w:val="006F548A"/>
    <w:rsid w:val="006F5872"/>
    <w:rsid w:val="006F5CC3"/>
    <w:rsid w:val="007003B0"/>
    <w:rsid w:val="007011F4"/>
    <w:rsid w:val="00701E8B"/>
    <w:rsid w:val="00702CCF"/>
    <w:rsid w:val="00703425"/>
    <w:rsid w:val="00703E5C"/>
    <w:rsid w:val="00703FC2"/>
    <w:rsid w:val="007055A9"/>
    <w:rsid w:val="00705AB9"/>
    <w:rsid w:val="00705B88"/>
    <w:rsid w:val="0071029D"/>
    <w:rsid w:val="00711258"/>
    <w:rsid w:val="00712314"/>
    <w:rsid w:val="00713B9D"/>
    <w:rsid w:val="00713F54"/>
    <w:rsid w:val="0071590C"/>
    <w:rsid w:val="007214C7"/>
    <w:rsid w:val="00723071"/>
    <w:rsid w:val="007237E4"/>
    <w:rsid w:val="007242B6"/>
    <w:rsid w:val="007253BE"/>
    <w:rsid w:val="00725C87"/>
    <w:rsid w:val="00726D2F"/>
    <w:rsid w:val="0072762D"/>
    <w:rsid w:val="00727BB5"/>
    <w:rsid w:val="00730369"/>
    <w:rsid w:val="007311CF"/>
    <w:rsid w:val="00731202"/>
    <w:rsid w:val="007315CD"/>
    <w:rsid w:val="00731B17"/>
    <w:rsid w:val="00732611"/>
    <w:rsid w:val="00732F3E"/>
    <w:rsid w:val="00734514"/>
    <w:rsid w:val="007358AB"/>
    <w:rsid w:val="00737622"/>
    <w:rsid w:val="0074165F"/>
    <w:rsid w:val="00742C2C"/>
    <w:rsid w:val="00742E69"/>
    <w:rsid w:val="00743E54"/>
    <w:rsid w:val="00743FBA"/>
    <w:rsid w:val="0074402F"/>
    <w:rsid w:val="00745188"/>
    <w:rsid w:val="007463A0"/>
    <w:rsid w:val="007475E4"/>
    <w:rsid w:val="00747CC0"/>
    <w:rsid w:val="0075035D"/>
    <w:rsid w:val="00750558"/>
    <w:rsid w:val="00750AEE"/>
    <w:rsid w:val="00750D11"/>
    <w:rsid w:val="0075121A"/>
    <w:rsid w:val="007529DC"/>
    <w:rsid w:val="007543B6"/>
    <w:rsid w:val="00754BE9"/>
    <w:rsid w:val="00755AF2"/>
    <w:rsid w:val="00755B1A"/>
    <w:rsid w:val="00755CA1"/>
    <w:rsid w:val="0075685C"/>
    <w:rsid w:val="00764D02"/>
    <w:rsid w:val="00767FAC"/>
    <w:rsid w:val="007711E7"/>
    <w:rsid w:val="0077140D"/>
    <w:rsid w:val="00773191"/>
    <w:rsid w:val="0077340B"/>
    <w:rsid w:val="007738D3"/>
    <w:rsid w:val="007738FE"/>
    <w:rsid w:val="0077398D"/>
    <w:rsid w:val="00773DF2"/>
    <w:rsid w:val="00774090"/>
    <w:rsid w:val="00774D64"/>
    <w:rsid w:val="007760E0"/>
    <w:rsid w:val="0077671D"/>
    <w:rsid w:val="00776F83"/>
    <w:rsid w:val="00777A8A"/>
    <w:rsid w:val="00777DC5"/>
    <w:rsid w:val="00780BBA"/>
    <w:rsid w:val="00780D81"/>
    <w:rsid w:val="00781801"/>
    <w:rsid w:val="0078224A"/>
    <w:rsid w:val="00782BD2"/>
    <w:rsid w:val="00784B6E"/>
    <w:rsid w:val="00784C88"/>
    <w:rsid w:val="007854FD"/>
    <w:rsid w:val="0078627E"/>
    <w:rsid w:val="00786396"/>
    <w:rsid w:val="00791B7B"/>
    <w:rsid w:val="00792F9D"/>
    <w:rsid w:val="0079345F"/>
    <w:rsid w:val="00793CB8"/>
    <w:rsid w:val="00794F64"/>
    <w:rsid w:val="00795A79"/>
    <w:rsid w:val="00795E25"/>
    <w:rsid w:val="00796097"/>
    <w:rsid w:val="00796A8D"/>
    <w:rsid w:val="00797FF0"/>
    <w:rsid w:val="007A06F8"/>
    <w:rsid w:val="007A1711"/>
    <w:rsid w:val="007A229B"/>
    <w:rsid w:val="007A6A47"/>
    <w:rsid w:val="007B0CBD"/>
    <w:rsid w:val="007B25B4"/>
    <w:rsid w:val="007B2769"/>
    <w:rsid w:val="007B28A2"/>
    <w:rsid w:val="007B2D09"/>
    <w:rsid w:val="007B304A"/>
    <w:rsid w:val="007B39D0"/>
    <w:rsid w:val="007B3C9D"/>
    <w:rsid w:val="007B3F7D"/>
    <w:rsid w:val="007B5179"/>
    <w:rsid w:val="007B5945"/>
    <w:rsid w:val="007B6827"/>
    <w:rsid w:val="007B6FB3"/>
    <w:rsid w:val="007C01D8"/>
    <w:rsid w:val="007C0AD4"/>
    <w:rsid w:val="007C0C59"/>
    <w:rsid w:val="007C0E75"/>
    <w:rsid w:val="007C1D05"/>
    <w:rsid w:val="007C1EF6"/>
    <w:rsid w:val="007C2276"/>
    <w:rsid w:val="007C315E"/>
    <w:rsid w:val="007C3781"/>
    <w:rsid w:val="007C3CE9"/>
    <w:rsid w:val="007C4B99"/>
    <w:rsid w:val="007C643D"/>
    <w:rsid w:val="007C6658"/>
    <w:rsid w:val="007C667B"/>
    <w:rsid w:val="007C6C53"/>
    <w:rsid w:val="007C6E2E"/>
    <w:rsid w:val="007C6EC4"/>
    <w:rsid w:val="007C7659"/>
    <w:rsid w:val="007D011D"/>
    <w:rsid w:val="007D029E"/>
    <w:rsid w:val="007D2472"/>
    <w:rsid w:val="007D270A"/>
    <w:rsid w:val="007D2F53"/>
    <w:rsid w:val="007D3CD3"/>
    <w:rsid w:val="007D3DE6"/>
    <w:rsid w:val="007D545A"/>
    <w:rsid w:val="007D565F"/>
    <w:rsid w:val="007D56EF"/>
    <w:rsid w:val="007D6F58"/>
    <w:rsid w:val="007D720A"/>
    <w:rsid w:val="007E08CD"/>
    <w:rsid w:val="007E2C8E"/>
    <w:rsid w:val="007E3204"/>
    <w:rsid w:val="007E3217"/>
    <w:rsid w:val="007E4539"/>
    <w:rsid w:val="007E4672"/>
    <w:rsid w:val="007E5A6B"/>
    <w:rsid w:val="007E5F1A"/>
    <w:rsid w:val="007E6095"/>
    <w:rsid w:val="007E729C"/>
    <w:rsid w:val="007E7C0F"/>
    <w:rsid w:val="007F1FD9"/>
    <w:rsid w:val="007F2B7C"/>
    <w:rsid w:val="007F2FD5"/>
    <w:rsid w:val="007F4A1F"/>
    <w:rsid w:val="007F5098"/>
    <w:rsid w:val="007F5190"/>
    <w:rsid w:val="007F5CEB"/>
    <w:rsid w:val="007F6361"/>
    <w:rsid w:val="007F65D6"/>
    <w:rsid w:val="007F7517"/>
    <w:rsid w:val="007F7E3B"/>
    <w:rsid w:val="00800365"/>
    <w:rsid w:val="008007E2"/>
    <w:rsid w:val="008016FB"/>
    <w:rsid w:val="008037A0"/>
    <w:rsid w:val="008061EE"/>
    <w:rsid w:val="008062F6"/>
    <w:rsid w:val="00806303"/>
    <w:rsid w:val="00806800"/>
    <w:rsid w:val="008072A6"/>
    <w:rsid w:val="008072F4"/>
    <w:rsid w:val="00807EAD"/>
    <w:rsid w:val="0081017A"/>
    <w:rsid w:val="00811F37"/>
    <w:rsid w:val="00812695"/>
    <w:rsid w:val="00814ADB"/>
    <w:rsid w:val="008157AE"/>
    <w:rsid w:val="00815D5D"/>
    <w:rsid w:val="008165C8"/>
    <w:rsid w:val="0081681C"/>
    <w:rsid w:val="00817E68"/>
    <w:rsid w:val="0082091E"/>
    <w:rsid w:val="008212A2"/>
    <w:rsid w:val="00821E3B"/>
    <w:rsid w:val="008221CC"/>
    <w:rsid w:val="008225F0"/>
    <w:rsid w:val="008245A6"/>
    <w:rsid w:val="00825F65"/>
    <w:rsid w:val="00826F36"/>
    <w:rsid w:val="00832526"/>
    <w:rsid w:val="00833658"/>
    <w:rsid w:val="0083495F"/>
    <w:rsid w:val="00834995"/>
    <w:rsid w:val="0083519E"/>
    <w:rsid w:val="0083614A"/>
    <w:rsid w:val="008366B7"/>
    <w:rsid w:val="00836EF4"/>
    <w:rsid w:val="00837CFB"/>
    <w:rsid w:val="008409F9"/>
    <w:rsid w:val="00841227"/>
    <w:rsid w:val="00842A8F"/>
    <w:rsid w:val="0084345C"/>
    <w:rsid w:val="00846AF8"/>
    <w:rsid w:val="00847FCC"/>
    <w:rsid w:val="00850EF9"/>
    <w:rsid w:val="008527F8"/>
    <w:rsid w:val="00853613"/>
    <w:rsid w:val="00854415"/>
    <w:rsid w:val="008570DA"/>
    <w:rsid w:val="0085729C"/>
    <w:rsid w:val="00860719"/>
    <w:rsid w:val="00860DAA"/>
    <w:rsid w:val="00862027"/>
    <w:rsid w:val="008625AF"/>
    <w:rsid w:val="00862A2E"/>
    <w:rsid w:val="00864F2B"/>
    <w:rsid w:val="008654C5"/>
    <w:rsid w:val="008654E5"/>
    <w:rsid w:val="008670D4"/>
    <w:rsid w:val="00870F0F"/>
    <w:rsid w:val="00870F2F"/>
    <w:rsid w:val="00874919"/>
    <w:rsid w:val="00875AAE"/>
    <w:rsid w:val="00875D5C"/>
    <w:rsid w:val="00877603"/>
    <w:rsid w:val="00880271"/>
    <w:rsid w:val="00880942"/>
    <w:rsid w:val="00880D90"/>
    <w:rsid w:val="0088280E"/>
    <w:rsid w:val="008832A6"/>
    <w:rsid w:val="008851F3"/>
    <w:rsid w:val="0088567C"/>
    <w:rsid w:val="008874A9"/>
    <w:rsid w:val="008874EA"/>
    <w:rsid w:val="00887AD2"/>
    <w:rsid w:val="00890368"/>
    <w:rsid w:val="00891594"/>
    <w:rsid w:val="0089455F"/>
    <w:rsid w:val="008947C1"/>
    <w:rsid w:val="00895BBD"/>
    <w:rsid w:val="00896985"/>
    <w:rsid w:val="008A1107"/>
    <w:rsid w:val="008A23CE"/>
    <w:rsid w:val="008A3912"/>
    <w:rsid w:val="008A39BE"/>
    <w:rsid w:val="008A43F7"/>
    <w:rsid w:val="008A511C"/>
    <w:rsid w:val="008A52DE"/>
    <w:rsid w:val="008A55CD"/>
    <w:rsid w:val="008A560E"/>
    <w:rsid w:val="008A6B2C"/>
    <w:rsid w:val="008A7579"/>
    <w:rsid w:val="008B0005"/>
    <w:rsid w:val="008B0746"/>
    <w:rsid w:val="008B094D"/>
    <w:rsid w:val="008B0FCA"/>
    <w:rsid w:val="008B1576"/>
    <w:rsid w:val="008B1CBD"/>
    <w:rsid w:val="008B24B4"/>
    <w:rsid w:val="008B26F1"/>
    <w:rsid w:val="008B32D2"/>
    <w:rsid w:val="008B4DA7"/>
    <w:rsid w:val="008B511F"/>
    <w:rsid w:val="008B5509"/>
    <w:rsid w:val="008B5613"/>
    <w:rsid w:val="008B6887"/>
    <w:rsid w:val="008B6E67"/>
    <w:rsid w:val="008B7B5C"/>
    <w:rsid w:val="008C06EC"/>
    <w:rsid w:val="008C0B40"/>
    <w:rsid w:val="008C1216"/>
    <w:rsid w:val="008C195B"/>
    <w:rsid w:val="008C260B"/>
    <w:rsid w:val="008C2889"/>
    <w:rsid w:val="008C3292"/>
    <w:rsid w:val="008C5C42"/>
    <w:rsid w:val="008C6747"/>
    <w:rsid w:val="008C6863"/>
    <w:rsid w:val="008D0615"/>
    <w:rsid w:val="008D1EBD"/>
    <w:rsid w:val="008D332F"/>
    <w:rsid w:val="008D4636"/>
    <w:rsid w:val="008D4E01"/>
    <w:rsid w:val="008D542E"/>
    <w:rsid w:val="008D572E"/>
    <w:rsid w:val="008D5841"/>
    <w:rsid w:val="008D63C0"/>
    <w:rsid w:val="008D789D"/>
    <w:rsid w:val="008E007F"/>
    <w:rsid w:val="008E09B8"/>
    <w:rsid w:val="008E2B71"/>
    <w:rsid w:val="008E31AC"/>
    <w:rsid w:val="008E3D7C"/>
    <w:rsid w:val="008E41BD"/>
    <w:rsid w:val="008E450F"/>
    <w:rsid w:val="008E4F9A"/>
    <w:rsid w:val="008E6EB7"/>
    <w:rsid w:val="008F023B"/>
    <w:rsid w:val="008F1D52"/>
    <w:rsid w:val="008F266F"/>
    <w:rsid w:val="008F30EC"/>
    <w:rsid w:val="008F370C"/>
    <w:rsid w:val="008F38AB"/>
    <w:rsid w:val="008F4B59"/>
    <w:rsid w:val="008F5082"/>
    <w:rsid w:val="008F58BA"/>
    <w:rsid w:val="008F5FFD"/>
    <w:rsid w:val="008F6290"/>
    <w:rsid w:val="008F6695"/>
    <w:rsid w:val="00902750"/>
    <w:rsid w:val="009031EA"/>
    <w:rsid w:val="00903D79"/>
    <w:rsid w:val="00910BC8"/>
    <w:rsid w:val="00911754"/>
    <w:rsid w:val="00911D5C"/>
    <w:rsid w:val="009128DE"/>
    <w:rsid w:val="009132EC"/>
    <w:rsid w:val="00914D77"/>
    <w:rsid w:val="009179E8"/>
    <w:rsid w:val="00917FDD"/>
    <w:rsid w:val="009206B0"/>
    <w:rsid w:val="00921292"/>
    <w:rsid w:val="00925F51"/>
    <w:rsid w:val="00925FC1"/>
    <w:rsid w:val="00926CEA"/>
    <w:rsid w:val="00927B1C"/>
    <w:rsid w:val="00927E20"/>
    <w:rsid w:val="00930C14"/>
    <w:rsid w:val="00931DF8"/>
    <w:rsid w:val="009322B9"/>
    <w:rsid w:val="00932431"/>
    <w:rsid w:val="00933212"/>
    <w:rsid w:val="009344D3"/>
    <w:rsid w:val="00937667"/>
    <w:rsid w:val="009379F0"/>
    <w:rsid w:val="00940590"/>
    <w:rsid w:val="00940B8E"/>
    <w:rsid w:val="00940D39"/>
    <w:rsid w:val="00940DEB"/>
    <w:rsid w:val="009414AD"/>
    <w:rsid w:val="009417BB"/>
    <w:rsid w:val="009442E8"/>
    <w:rsid w:val="009444DA"/>
    <w:rsid w:val="009450D9"/>
    <w:rsid w:val="00945749"/>
    <w:rsid w:val="0094684D"/>
    <w:rsid w:val="00946CD7"/>
    <w:rsid w:val="00947206"/>
    <w:rsid w:val="009475AB"/>
    <w:rsid w:val="00950832"/>
    <w:rsid w:val="00952B6B"/>
    <w:rsid w:val="0095362E"/>
    <w:rsid w:val="009539D1"/>
    <w:rsid w:val="0095482B"/>
    <w:rsid w:val="00955A54"/>
    <w:rsid w:val="00955AAF"/>
    <w:rsid w:val="00956F31"/>
    <w:rsid w:val="00961317"/>
    <w:rsid w:val="00961EFA"/>
    <w:rsid w:val="00963EE7"/>
    <w:rsid w:val="00965FDF"/>
    <w:rsid w:val="00967B2B"/>
    <w:rsid w:val="00970879"/>
    <w:rsid w:val="00970E35"/>
    <w:rsid w:val="00971292"/>
    <w:rsid w:val="00971A94"/>
    <w:rsid w:val="009723CC"/>
    <w:rsid w:val="00972F98"/>
    <w:rsid w:val="00973D78"/>
    <w:rsid w:val="0097553B"/>
    <w:rsid w:val="009760D1"/>
    <w:rsid w:val="00977EDB"/>
    <w:rsid w:val="00980C3D"/>
    <w:rsid w:val="00981761"/>
    <w:rsid w:val="0098179A"/>
    <w:rsid w:val="00982D5E"/>
    <w:rsid w:val="00983C77"/>
    <w:rsid w:val="00983E64"/>
    <w:rsid w:val="0098425E"/>
    <w:rsid w:val="00987C99"/>
    <w:rsid w:val="00990270"/>
    <w:rsid w:val="009902C0"/>
    <w:rsid w:val="0099094B"/>
    <w:rsid w:val="009912A7"/>
    <w:rsid w:val="00992842"/>
    <w:rsid w:val="0099392C"/>
    <w:rsid w:val="00993DCB"/>
    <w:rsid w:val="0099525C"/>
    <w:rsid w:val="009955F6"/>
    <w:rsid w:val="00996E89"/>
    <w:rsid w:val="00997361"/>
    <w:rsid w:val="009A048D"/>
    <w:rsid w:val="009A1CD5"/>
    <w:rsid w:val="009A1CDF"/>
    <w:rsid w:val="009A21AB"/>
    <w:rsid w:val="009A2628"/>
    <w:rsid w:val="009A2EFA"/>
    <w:rsid w:val="009A3496"/>
    <w:rsid w:val="009A3960"/>
    <w:rsid w:val="009A45A3"/>
    <w:rsid w:val="009A496E"/>
    <w:rsid w:val="009A588F"/>
    <w:rsid w:val="009A5A93"/>
    <w:rsid w:val="009A63A4"/>
    <w:rsid w:val="009A6B6C"/>
    <w:rsid w:val="009A6B93"/>
    <w:rsid w:val="009A728A"/>
    <w:rsid w:val="009A7CBC"/>
    <w:rsid w:val="009B0D43"/>
    <w:rsid w:val="009B1359"/>
    <w:rsid w:val="009B1DA7"/>
    <w:rsid w:val="009B2B9D"/>
    <w:rsid w:val="009B41E9"/>
    <w:rsid w:val="009B59AA"/>
    <w:rsid w:val="009B60FF"/>
    <w:rsid w:val="009B717E"/>
    <w:rsid w:val="009B7B88"/>
    <w:rsid w:val="009B7C41"/>
    <w:rsid w:val="009C23B3"/>
    <w:rsid w:val="009C3A1B"/>
    <w:rsid w:val="009C3A2F"/>
    <w:rsid w:val="009C4919"/>
    <w:rsid w:val="009C673D"/>
    <w:rsid w:val="009C68C8"/>
    <w:rsid w:val="009C6CC8"/>
    <w:rsid w:val="009C6FA7"/>
    <w:rsid w:val="009C76D2"/>
    <w:rsid w:val="009C7CBC"/>
    <w:rsid w:val="009D1876"/>
    <w:rsid w:val="009D19D5"/>
    <w:rsid w:val="009D2BD1"/>
    <w:rsid w:val="009D2EFA"/>
    <w:rsid w:val="009D36DA"/>
    <w:rsid w:val="009D51B1"/>
    <w:rsid w:val="009D694D"/>
    <w:rsid w:val="009D6FC3"/>
    <w:rsid w:val="009D7268"/>
    <w:rsid w:val="009D75B3"/>
    <w:rsid w:val="009E0BE9"/>
    <w:rsid w:val="009E132F"/>
    <w:rsid w:val="009E1428"/>
    <w:rsid w:val="009E1EF7"/>
    <w:rsid w:val="009E27BE"/>
    <w:rsid w:val="009E2D51"/>
    <w:rsid w:val="009E2F6B"/>
    <w:rsid w:val="009E31F7"/>
    <w:rsid w:val="009E5718"/>
    <w:rsid w:val="009E661E"/>
    <w:rsid w:val="009E6E3D"/>
    <w:rsid w:val="009E756D"/>
    <w:rsid w:val="009E7FDF"/>
    <w:rsid w:val="009F17EC"/>
    <w:rsid w:val="009F266E"/>
    <w:rsid w:val="009F3385"/>
    <w:rsid w:val="009F450A"/>
    <w:rsid w:val="009F50CF"/>
    <w:rsid w:val="009F5A2A"/>
    <w:rsid w:val="009F661D"/>
    <w:rsid w:val="009F67F1"/>
    <w:rsid w:val="009F740E"/>
    <w:rsid w:val="009F79F2"/>
    <w:rsid w:val="009F7EDC"/>
    <w:rsid w:val="00A00139"/>
    <w:rsid w:val="00A00753"/>
    <w:rsid w:val="00A00759"/>
    <w:rsid w:val="00A013F4"/>
    <w:rsid w:val="00A01A86"/>
    <w:rsid w:val="00A02349"/>
    <w:rsid w:val="00A024A9"/>
    <w:rsid w:val="00A029EB"/>
    <w:rsid w:val="00A035A0"/>
    <w:rsid w:val="00A0418B"/>
    <w:rsid w:val="00A06E12"/>
    <w:rsid w:val="00A07E35"/>
    <w:rsid w:val="00A11FA5"/>
    <w:rsid w:val="00A12ABC"/>
    <w:rsid w:val="00A12C35"/>
    <w:rsid w:val="00A14F47"/>
    <w:rsid w:val="00A152BD"/>
    <w:rsid w:val="00A15515"/>
    <w:rsid w:val="00A16476"/>
    <w:rsid w:val="00A16E73"/>
    <w:rsid w:val="00A17E25"/>
    <w:rsid w:val="00A20BC0"/>
    <w:rsid w:val="00A218AF"/>
    <w:rsid w:val="00A22408"/>
    <w:rsid w:val="00A2259B"/>
    <w:rsid w:val="00A22BB9"/>
    <w:rsid w:val="00A22E91"/>
    <w:rsid w:val="00A239E8"/>
    <w:rsid w:val="00A23B3F"/>
    <w:rsid w:val="00A23DC6"/>
    <w:rsid w:val="00A24E09"/>
    <w:rsid w:val="00A2520F"/>
    <w:rsid w:val="00A2545F"/>
    <w:rsid w:val="00A25933"/>
    <w:rsid w:val="00A26100"/>
    <w:rsid w:val="00A27764"/>
    <w:rsid w:val="00A27DFC"/>
    <w:rsid w:val="00A27FAD"/>
    <w:rsid w:val="00A30AF7"/>
    <w:rsid w:val="00A31D8B"/>
    <w:rsid w:val="00A32F7B"/>
    <w:rsid w:val="00A32FD6"/>
    <w:rsid w:val="00A3320A"/>
    <w:rsid w:val="00A33593"/>
    <w:rsid w:val="00A356E9"/>
    <w:rsid w:val="00A37BB9"/>
    <w:rsid w:val="00A40385"/>
    <w:rsid w:val="00A4064A"/>
    <w:rsid w:val="00A414C4"/>
    <w:rsid w:val="00A41FD6"/>
    <w:rsid w:val="00A42491"/>
    <w:rsid w:val="00A42D57"/>
    <w:rsid w:val="00A43340"/>
    <w:rsid w:val="00A43B68"/>
    <w:rsid w:val="00A43DB2"/>
    <w:rsid w:val="00A44396"/>
    <w:rsid w:val="00A45309"/>
    <w:rsid w:val="00A473BB"/>
    <w:rsid w:val="00A474BB"/>
    <w:rsid w:val="00A47B75"/>
    <w:rsid w:val="00A501EC"/>
    <w:rsid w:val="00A52222"/>
    <w:rsid w:val="00A52B7A"/>
    <w:rsid w:val="00A53883"/>
    <w:rsid w:val="00A54B80"/>
    <w:rsid w:val="00A54FED"/>
    <w:rsid w:val="00A5663D"/>
    <w:rsid w:val="00A56B53"/>
    <w:rsid w:val="00A56B85"/>
    <w:rsid w:val="00A60DAD"/>
    <w:rsid w:val="00A6325E"/>
    <w:rsid w:val="00A63298"/>
    <w:rsid w:val="00A65950"/>
    <w:rsid w:val="00A732F8"/>
    <w:rsid w:val="00A748B0"/>
    <w:rsid w:val="00A76A91"/>
    <w:rsid w:val="00A76E1C"/>
    <w:rsid w:val="00A77E3C"/>
    <w:rsid w:val="00A806C8"/>
    <w:rsid w:val="00A80E00"/>
    <w:rsid w:val="00A814BA"/>
    <w:rsid w:val="00A822B8"/>
    <w:rsid w:val="00A82C9F"/>
    <w:rsid w:val="00A84354"/>
    <w:rsid w:val="00A84923"/>
    <w:rsid w:val="00A84F36"/>
    <w:rsid w:val="00A85326"/>
    <w:rsid w:val="00A8596B"/>
    <w:rsid w:val="00A8756C"/>
    <w:rsid w:val="00A87F82"/>
    <w:rsid w:val="00A91669"/>
    <w:rsid w:val="00A94F17"/>
    <w:rsid w:val="00A96903"/>
    <w:rsid w:val="00A975C3"/>
    <w:rsid w:val="00AA02CE"/>
    <w:rsid w:val="00AA0579"/>
    <w:rsid w:val="00AA0C8F"/>
    <w:rsid w:val="00AA1273"/>
    <w:rsid w:val="00AA2056"/>
    <w:rsid w:val="00AA23D8"/>
    <w:rsid w:val="00AA2F13"/>
    <w:rsid w:val="00AA30CE"/>
    <w:rsid w:val="00AA5253"/>
    <w:rsid w:val="00AA587F"/>
    <w:rsid w:val="00AA6C6C"/>
    <w:rsid w:val="00AA7CE0"/>
    <w:rsid w:val="00AB15D2"/>
    <w:rsid w:val="00AB1B8A"/>
    <w:rsid w:val="00AB2ED8"/>
    <w:rsid w:val="00AB376C"/>
    <w:rsid w:val="00AB3882"/>
    <w:rsid w:val="00AB76A9"/>
    <w:rsid w:val="00AC149B"/>
    <w:rsid w:val="00AC252D"/>
    <w:rsid w:val="00AC418C"/>
    <w:rsid w:val="00AC4BF8"/>
    <w:rsid w:val="00AC5E60"/>
    <w:rsid w:val="00AC6AAC"/>
    <w:rsid w:val="00AD1427"/>
    <w:rsid w:val="00AD26EF"/>
    <w:rsid w:val="00AD3740"/>
    <w:rsid w:val="00AD458B"/>
    <w:rsid w:val="00AD5126"/>
    <w:rsid w:val="00AD5AB0"/>
    <w:rsid w:val="00AD62A3"/>
    <w:rsid w:val="00AD66B3"/>
    <w:rsid w:val="00AD7F56"/>
    <w:rsid w:val="00AD7F60"/>
    <w:rsid w:val="00AE2B5E"/>
    <w:rsid w:val="00AE3877"/>
    <w:rsid w:val="00AE4151"/>
    <w:rsid w:val="00AE611E"/>
    <w:rsid w:val="00AE6A90"/>
    <w:rsid w:val="00AE6B86"/>
    <w:rsid w:val="00AE6B89"/>
    <w:rsid w:val="00AE7D9D"/>
    <w:rsid w:val="00AE7EAC"/>
    <w:rsid w:val="00AF1104"/>
    <w:rsid w:val="00AF1B30"/>
    <w:rsid w:val="00AF2689"/>
    <w:rsid w:val="00AF3270"/>
    <w:rsid w:val="00AF38C8"/>
    <w:rsid w:val="00AF43A2"/>
    <w:rsid w:val="00AF46DB"/>
    <w:rsid w:val="00AF47FD"/>
    <w:rsid w:val="00AF6D8E"/>
    <w:rsid w:val="00AF7B29"/>
    <w:rsid w:val="00B00AF9"/>
    <w:rsid w:val="00B01406"/>
    <w:rsid w:val="00B02992"/>
    <w:rsid w:val="00B02A32"/>
    <w:rsid w:val="00B04535"/>
    <w:rsid w:val="00B04EE8"/>
    <w:rsid w:val="00B0601E"/>
    <w:rsid w:val="00B065AF"/>
    <w:rsid w:val="00B07395"/>
    <w:rsid w:val="00B0796C"/>
    <w:rsid w:val="00B10A06"/>
    <w:rsid w:val="00B11A11"/>
    <w:rsid w:val="00B12511"/>
    <w:rsid w:val="00B13645"/>
    <w:rsid w:val="00B14B89"/>
    <w:rsid w:val="00B16572"/>
    <w:rsid w:val="00B20D22"/>
    <w:rsid w:val="00B20E56"/>
    <w:rsid w:val="00B21173"/>
    <w:rsid w:val="00B211DE"/>
    <w:rsid w:val="00B217F3"/>
    <w:rsid w:val="00B21AB7"/>
    <w:rsid w:val="00B21F3A"/>
    <w:rsid w:val="00B22124"/>
    <w:rsid w:val="00B223AE"/>
    <w:rsid w:val="00B23AC9"/>
    <w:rsid w:val="00B26A5C"/>
    <w:rsid w:val="00B274EF"/>
    <w:rsid w:val="00B27597"/>
    <w:rsid w:val="00B314B4"/>
    <w:rsid w:val="00B3203C"/>
    <w:rsid w:val="00B32C81"/>
    <w:rsid w:val="00B33B83"/>
    <w:rsid w:val="00B346AE"/>
    <w:rsid w:val="00B34826"/>
    <w:rsid w:val="00B35D7C"/>
    <w:rsid w:val="00B36059"/>
    <w:rsid w:val="00B36D7D"/>
    <w:rsid w:val="00B40462"/>
    <w:rsid w:val="00B40645"/>
    <w:rsid w:val="00B40A61"/>
    <w:rsid w:val="00B41513"/>
    <w:rsid w:val="00B441D7"/>
    <w:rsid w:val="00B4532E"/>
    <w:rsid w:val="00B454B3"/>
    <w:rsid w:val="00B4605C"/>
    <w:rsid w:val="00B469CC"/>
    <w:rsid w:val="00B50288"/>
    <w:rsid w:val="00B50761"/>
    <w:rsid w:val="00B51998"/>
    <w:rsid w:val="00B51C6A"/>
    <w:rsid w:val="00B538FD"/>
    <w:rsid w:val="00B53B3A"/>
    <w:rsid w:val="00B563D6"/>
    <w:rsid w:val="00B56945"/>
    <w:rsid w:val="00B5698C"/>
    <w:rsid w:val="00B56D61"/>
    <w:rsid w:val="00B60821"/>
    <w:rsid w:val="00B608ED"/>
    <w:rsid w:val="00B6110E"/>
    <w:rsid w:val="00B617D2"/>
    <w:rsid w:val="00B61F09"/>
    <w:rsid w:val="00B62B8E"/>
    <w:rsid w:val="00B648E3"/>
    <w:rsid w:val="00B65568"/>
    <w:rsid w:val="00B65954"/>
    <w:rsid w:val="00B65C06"/>
    <w:rsid w:val="00B667C6"/>
    <w:rsid w:val="00B66DC6"/>
    <w:rsid w:val="00B66E51"/>
    <w:rsid w:val="00B6792F"/>
    <w:rsid w:val="00B70BD4"/>
    <w:rsid w:val="00B71C22"/>
    <w:rsid w:val="00B7249D"/>
    <w:rsid w:val="00B725A7"/>
    <w:rsid w:val="00B7372C"/>
    <w:rsid w:val="00B739A0"/>
    <w:rsid w:val="00B73A45"/>
    <w:rsid w:val="00B747ED"/>
    <w:rsid w:val="00B75547"/>
    <w:rsid w:val="00B770E3"/>
    <w:rsid w:val="00B80D87"/>
    <w:rsid w:val="00B812BA"/>
    <w:rsid w:val="00B81BCF"/>
    <w:rsid w:val="00B83009"/>
    <w:rsid w:val="00B830D0"/>
    <w:rsid w:val="00B83D4E"/>
    <w:rsid w:val="00B845BC"/>
    <w:rsid w:val="00B86DBD"/>
    <w:rsid w:val="00B87B2D"/>
    <w:rsid w:val="00B87C88"/>
    <w:rsid w:val="00B90321"/>
    <w:rsid w:val="00B912BF"/>
    <w:rsid w:val="00B913DD"/>
    <w:rsid w:val="00B920B9"/>
    <w:rsid w:val="00B9221E"/>
    <w:rsid w:val="00B9275F"/>
    <w:rsid w:val="00B92D78"/>
    <w:rsid w:val="00B93053"/>
    <w:rsid w:val="00B93B23"/>
    <w:rsid w:val="00B93D80"/>
    <w:rsid w:val="00B93F05"/>
    <w:rsid w:val="00B9443D"/>
    <w:rsid w:val="00B945AF"/>
    <w:rsid w:val="00B9473D"/>
    <w:rsid w:val="00B954D8"/>
    <w:rsid w:val="00B955C1"/>
    <w:rsid w:val="00B96B95"/>
    <w:rsid w:val="00BA02BF"/>
    <w:rsid w:val="00BA0E42"/>
    <w:rsid w:val="00BA0F5D"/>
    <w:rsid w:val="00BA2D33"/>
    <w:rsid w:val="00BA3C8E"/>
    <w:rsid w:val="00BA47F1"/>
    <w:rsid w:val="00BA7A05"/>
    <w:rsid w:val="00BB03BF"/>
    <w:rsid w:val="00BB388D"/>
    <w:rsid w:val="00BB3F92"/>
    <w:rsid w:val="00BB4107"/>
    <w:rsid w:val="00BB664C"/>
    <w:rsid w:val="00BB6D0F"/>
    <w:rsid w:val="00BB78B8"/>
    <w:rsid w:val="00BC02A4"/>
    <w:rsid w:val="00BC1B04"/>
    <w:rsid w:val="00BC1C28"/>
    <w:rsid w:val="00BC2632"/>
    <w:rsid w:val="00BC2C72"/>
    <w:rsid w:val="00BC2F17"/>
    <w:rsid w:val="00BC3DE5"/>
    <w:rsid w:val="00BC4685"/>
    <w:rsid w:val="00BC5179"/>
    <w:rsid w:val="00BC6CF0"/>
    <w:rsid w:val="00BD035D"/>
    <w:rsid w:val="00BD0AAB"/>
    <w:rsid w:val="00BD25A7"/>
    <w:rsid w:val="00BD298D"/>
    <w:rsid w:val="00BD31A8"/>
    <w:rsid w:val="00BD329D"/>
    <w:rsid w:val="00BD45A0"/>
    <w:rsid w:val="00BD66DB"/>
    <w:rsid w:val="00BD794D"/>
    <w:rsid w:val="00BD7B06"/>
    <w:rsid w:val="00BE03D0"/>
    <w:rsid w:val="00BE0B8B"/>
    <w:rsid w:val="00BE1992"/>
    <w:rsid w:val="00BE47A2"/>
    <w:rsid w:val="00BE634B"/>
    <w:rsid w:val="00BE65DB"/>
    <w:rsid w:val="00BE759F"/>
    <w:rsid w:val="00BE75F7"/>
    <w:rsid w:val="00BE7EEE"/>
    <w:rsid w:val="00BF06B6"/>
    <w:rsid w:val="00BF1E74"/>
    <w:rsid w:val="00BF26A8"/>
    <w:rsid w:val="00BF6D57"/>
    <w:rsid w:val="00BF7650"/>
    <w:rsid w:val="00C00F1B"/>
    <w:rsid w:val="00C01D28"/>
    <w:rsid w:val="00C0209D"/>
    <w:rsid w:val="00C030FD"/>
    <w:rsid w:val="00C03B60"/>
    <w:rsid w:val="00C04C5C"/>
    <w:rsid w:val="00C04E4D"/>
    <w:rsid w:val="00C0595B"/>
    <w:rsid w:val="00C05EF2"/>
    <w:rsid w:val="00C106B2"/>
    <w:rsid w:val="00C10B40"/>
    <w:rsid w:val="00C112A4"/>
    <w:rsid w:val="00C12604"/>
    <w:rsid w:val="00C1267E"/>
    <w:rsid w:val="00C13B39"/>
    <w:rsid w:val="00C15471"/>
    <w:rsid w:val="00C15D41"/>
    <w:rsid w:val="00C16030"/>
    <w:rsid w:val="00C167AD"/>
    <w:rsid w:val="00C20380"/>
    <w:rsid w:val="00C222A6"/>
    <w:rsid w:val="00C23CA5"/>
    <w:rsid w:val="00C24231"/>
    <w:rsid w:val="00C246C0"/>
    <w:rsid w:val="00C246F8"/>
    <w:rsid w:val="00C2524C"/>
    <w:rsid w:val="00C25482"/>
    <w:rsid w:val="00C26100"/>
    <w:rsid w:val="00C263D1"/>
    <w:rsid w:val="00C26565"/>
    <w:rsid w:val="00C2762D"/>
    <w:rsid w:val="00C30210"/>
    <w:rsid w:val="00C302AD"/>
    <w:rsid w:val="00C302DC"/>
    <w:rsid w:val="00C30535"/>
    <w:rsid w:val="00C31380"/>
    <w:rsid w:val="00C31B00"/>
    <w:rsid w:val="00C32AE7"/>
    <w:rsid w:val="00C33C4B"/>
    <w:rsid w:val="00C34D64"/>
    <w:rsid w:val="00C35F76"/>
    <w:rsid w:val="00C363B1"/>
    <w:rsid w:val="00C36D18"/>
    <w:rsid w:val="00C36FEF"/>
    <w:rsid w:val="00C37598"/>
    <w:rsid w:val="00C377A5"/>
    <w:rsid w:val="00C3797F"/>
    <w:rsid w:val="00C37C52"/>
    <w:rsid w:val="00C403FA"/>
    <w:rsid w:val="00C41319"/>
    <w:rsid w:val="00C41E72"/>
    <w:rsid w:val="00C41ED5"/>
    <w:rsid w:val="00C42157"/>
    <w:rsid w:val="00C435A3"/>
    <w:rsid w:val="00C4390C"/>
    <w:rsid w:val="00C440ED"/>
    <w:rsid w:val="00C45804"/>
    <w:rsid w:val="00C45E32"/>
    <w:rsid w:val="00C50379"/>
    <w:rsid w:val="00C50872"/>
    <w:rsid w:val="00C50941"/>
    <w:rsid w:val="00C532BE"/>
    <w:rsid w:val="00C54A6C"/>
    <w:rsid w:val="00C61630"/>
    <w:rsid w:val="00C63A3A"/>
    <w:rsid w:val="00C63D1F"/>
    <w:rsid w:val="00C63F93"/>
    <w:rsid w:val="00C65613"/>
    <w:rsid w:val="00C65AB2"/>
    <w:rsid w:val="00C65AE6"/>
    <w:rsid w:val="00C66555"/>
    <w:rsid w:val="00C67757"/>
    <w:rsid w:val="00C7084F"/>
    <w:rsid w:val="00C71336"/>
    <w:rsid w:val="00C719F2"/>
    <w:rsid w:val="00C723C7"/>
    <w:rsid w:val="00C76009"/>
    <w:rsid w:val="00C76ACC"/>
    <w:rsid w:val="00C7713D"/>
    <w:rsid w:val="00C82375"/>
    <w:rsid w:val="00C8289E"/>
    <w:rsid w:val="00C82FEC"/>
    <w:rsid w:val="00C83545"/>
    <w:rsid w:val="00C84D84"/>
    <w:rsid w:val="00C8519C"/>
    <w:rsid w:val="00C8634A"/>
    <w:rsid w:val="00C8647C"/>
    <w:rsid w:val="00C86E7A"/>
    <w:rsid w:val="00C871F9"/>
    <w:rsid w:val="00C91A59"/>
    <w:rsid w:val="00C92751"/>
    <w:rsid w:val="00C92BBE"/>
    <w:rsid w:val="00C9334E"/>
    <w:rsid w:val="00C93FC5"/>
    <w:rsid w:val="00C94057"/>
    <w:rsid w:val="00C948FF"/>
    <w:rsid w:val="00C94E1E"/>
    <w:rsid w:val="00C9796D"/>
    <w:rsid w:val="00CA16F0"/>
    <w:rsid w:val="00CA1B6D"/>
    <w:rsid w:val="00CA1C0F"/>
    <w:rsid w:val="00CA293E"/>
    <w:rsid w:val="00CA32D5"/>
    <w:rsid w:val="00CA3A3E"/>
    <w:rsid w:val="00CA58C7"/>
    <w:rsid w:val="00CA6806"/>
    <w:rsid w:val="00CB09FF"/>
    <w:rsid w:val="00CB0EB5"/>
    <w:rsid w:val="00CB23EE"/>
    <w:rsid w:val="00CB2A1F"/>
    <w:rsid w:val="00CB3264"/>
    <w:rsid w:val="00CB4EC5"/>
    <w:rsid w:val="00CB5198"/>
    <w:rsid w:val="00CB6085"/>
    <w:rsid w:val="00CB6BD8"/>
    <w:rsid w:val="00CB6F44"/>
    <w:rsid w:val="00CC0FA4"/>
    <w:rsid w:val="00CC1AA5"/>
    <w:rsid w:val="00CC1B9E"/>
    <w:rsid w:val="00CC1DF1"/>
    <w:rsid w:val="00CC1E68"/>
    <w:rsid w:val="00CC2798"/>
    <w:rsid w:val="00CC49EC"/>
    <w:rsid w:val="00CC62D0"/>
    <w:rsid w:val="00CC640A"/>
    <w:rsid w:val="00CC6ED1"/>
    <w:rsid w:val="00CD0961"/>
    <w:rsid w:val="00CD3362"/>
    <w:rsid w:val="00CD44D3"/>
    <w:rsid w:val="00CD4988"/>
    <w:rsid w:val="00CD575C"/>
    <w:rsid w:val="00CD578F"/>
    <w:rsid w:val="00CD5C21"/>
    <w:rsid w:val="00CD5EC2"/>
    <w:rsid w:val="00CD6421"/>
    <w:rsid w:val="00CE0F60"/>
    <w:rsid w:val="00CE1455"/>
    <w:rsid w:val="00CE1DFA"/>
    <w:rsid w:val="00CE3DF7"/>
    <w:rsid w:val="00CE441C"/>
    <w:rsid w:val="00CE4425"/>
    <w:rsid w:val="00CE4623"/>
    <w:rsid w:val="00CE5B2D"/>
    <w:rsid w:val="00CE5BE2"/>
    <w:rsid w:val="00CE5C3E"/>
    <w:rsid w:val="00CE60CC"/>
    <w:rsid w:val="00CE6859"/>
    <w:rsid w:val="00CE6F88"/>
    <w:rsid w:val="00CE7080"/>
    <w:rsid w:val="00CE71BA"/>
    <w:rsid w:val="00CF0474"/>
    <w:rsid w:val="00CF08E6"/>
    <w:rsid w:val="00CF1F4A"/>
    <w:rsid w:val="00CF33D5"/>
    <w:rsid w:val="00CF4D0E"/>
    <w:rsid w:val="00CF654D"/>
    <w:rsid w:val="00D0123C"/>
    <w:rsid w:val="00D02F6E"/>
    <w:rsid w:val="00D0390F"/>
    <w:rsid w:val="00D051F0"/>
    <w:rsid w:val="00D05CC2"/>
    <w:rsid w:val="00D077E3"/>
    <w:rsid w:val="00D07972"/>
    <w:rsid w:val="00D106F0"/>
    <w:rsid w:val="00D1072F"/>
    <w:rsid w:val="00D10DB1"/>
    <w:rsid w:val="00D11385"/>
    <w:rsid w:val="00D12B46"/>
    <w:rsid w:val="00D12C4F"/>
    <w:rsid w:val="00D13EE2"/>
    <w:rsid w:val="00D141E4"/>
    <w:rsid w:val="00D162F8"/>
    <w:rsid w:val="00D163D2"/>
    <w:rsid w:val="00D176D1"/>
    <w:rsid w:val="00D17F6C"/>
    <w:rsid w:val="00D20ADA"/>
    <w:rsid w:val="00D21D9F"/>
    <w:rsid w:val="00D2253A"/>
    <w:rsid w:val="00D2286C"/>
    <w:rsid w:val="00D23E2D"/>
    <w:rsid w:val="00D2417F"/>
    <w:rsid w:val="00D2451C"/>
    <w:rsid w:val="00D25D59"/>
    <w:rsid w:val="00D26299"/>
    <w:rsid w:val="00D26576"/>
    <w:rsid w:val="00D27092"/>
    <w:rsid w:val="00D27191"/>
    <w:rsid w:val="00D31B1B"/>
    <w:rsid w:val="00D32AB9"/>
    <w:rsid w:val="00D32D72"/>
    <w:rsid w:val="00D34B31"/>
    <w:rsid w:val="00D34EA5"/>
    <w:rsid w:val="00D3502E"/>
    <w:rsid w:val="00D351A3"/>
    <w:rsid w:val="00D35429"/>
    <w:rsid w:val="00D35AFF"/>
    <w:rsid w:val="00D35EE6"/>
    <w:rsid w:val="00D37BC5"/>
    <w:rsid w:val="00D402BC"/>
    <w:rsid w:val="00D40F30"/>
    <w:rsid w:val="00D42116"/>
    <w:rsid w:val="00D42140"/>
    <w:rsid w:val="00D4433B"/>
    <w:rsid w:val="00D45D3C"/>
    <w:rsid w:val="00D45D76"/>
    <w:rsid w:val="00D4619B"/>
    <w:rsid w:val="00D50062"/>
    <w:rsid w:val="00D50142"/>
    <w:rsid w:val="00D5190D"/>
    <w:rsid w:val="00D529EA"/>
    <w:rsid w:val="00D52F37"/>
    <w:rsid w:val="00D52FD5"/>
    <w:rsid w:val="00D53073"/>
    <w:rsid w:val="00D53A46"/>
    <w:rsid w:val="00D542A0"/>
    <w:rsid w:val="00D552F8"/>
    <w:rsid w:val="00D5677A"/>
    <w:rsid w:val="00D57C6C"/>
    <w:rsid w:val="00D57EC7"/>
    <w:rsid w:val="00D6199C"/>
    <w:rsid w:val="00D6302C"/>
    <w:rsid w:val="00D63B31"/>
    <w:rsid w:val="00D64DF6"/>
    <w:rsid w:val="00D6521D"/>
    <w:rsid w:val="00D65A47"/>
    <w:rsid w:val="00D660B5"/>
    <w:rsid w:val="00D661FE"/>
    <w:rsid w:val="00D674BE"/>
    <w:rsid w:val="00D67784"/>
    <w:rsid w:val="00D67BA0"/>
    <w:rsid w:val="00D70720"/>
    <w:rsid w:val="00D71E91"/>
    <w:rsid w:val="00D71FFC"/>
    <w:rsid w:val="00D730FB"/>
    <w:rsid w:val="00D73C6E"/>
    <w:rsid w:val="00D74D9F"/>
    <w:rsid w:val="00D75389"/>
    <w:rsid w:val="00D76259"/>
    <w:rsid w:val="00D76428"/>
    <w:rsid w:val="00D76D71"/>
    <w:rsid w:val="00D80428"/>
    <w:rsid w:val="00D831B5"/>
    <w:rsid w:val="00D83B71"/>
    <w:rsid w:val="00D83D67"/>
    <w:rsid w:val="00D83F10"/>
    <w:rsid w:val="00D84685"/>
    <w:rsid w:val="00D85A78"/>
    <w:rsid w:val="00D86C36"/>
    <w:rsid w:val="00D86CF8"/>
    <w:rsid w:val="00D9029F"/>
    <w:rsid w:val="00D90654"/>
    <w:rsid w:val="00D91072"/>
    <w:rsid w:val="00D913BD"/>
    <w:rsid w:val="00D91F3C"/>
    <w:rsid w:val="00D91F92"/>
    <w:rsid w:val="00D936B2"/>
    <w:rsid w:val="00D967E7"/>
    <w:rsid w:val="00D97775"/>
    <w:rsid w:val="00D9796F"/>
    <w:rsid w:val="00DA079A"/>
    <w:rsid w:val="00DA0A97"/>
    <w:rsid w:val="00DA17E2"/>
    <w:rsid w:val="00DA2C66"/>
    <w:rsid w:val="00DA6005"/>
    <w:rsid w:val="00DB0261"/>
    <w:rsid w:val="00DB15F2"/>
    <w:rsid w:val="00DB1F8B"/>
    <w:rsid w:val="00DB238D"/>
    <w:rsid w:val="00DB3ED6"/>
    <w:rsid w:val="00DB5DD4"/>
    <w:rsid w:val="00DB6ADE"/>
    <w:rsid w:val="00DB7563"/>
    <w:rsid w:val="00DB7609"/>
    <w:rsid w:val="00DC069E"/>
    <w:rsid w:val="00DC0D97"/>
    <w:rsid w:val="00DC1A45"/>
    <w:rsid w:val="00DC2EEC"/>
    <w:rsid w:val="00DC40A4"/>
    <w:rsid w:val="00DC4287"/>
    <w:rsid w:val="00DC5724"/>
    <w:rsid w:val="00DC67CE"/>
    <w:rsid w:val="00DC7196"/>
    <w:rsid w:val="00DD04CD"/>
    <w:rsid w:val="00DD0D94"/>
    <w:rsid w:val="00DD1D39"/>
    <w:rsid w:val="00DD31F5"/>
    <w:rsid w:val="00DD3469"/>
    <w:rsid w:val="00DD34EE"/>
    <w:rsid w:val="00DD3FB7"/>
    <w:rsid w:val="00DD4691"/>
    <w:rsid w:val="00DD5C79"/>
    <w:rsid w:val="00DD6FB6"/>
    <w:rsid w:val="00DE03C8"/>
    <w:rsid w:val="00DE0773"/>
    <w:rsid w:val="00DE0A3E"/>
    <w:rsid w:val="00DE12F8"/>
    <w:rsid w:val="00DE1D4D"/>
    <w:rsid w:val="00DE1F14"/>
    <w:rsid w:val="00DE2D3B"/>
    <w:rsid w:val="00DE3043"/>
    <w:rsid w:val="00DE47C3"/>
    <w:rsid w:val="00DE4D53"/>
    <w:rsid w:val="00DE526C"/>
    <w:rsid w:val="00DE7983"/>
    <w:rsid w:val="00DF17CC"/>
    <w:rsid w:val="00DF3198"/>
    <w:rsid w:val="00DF3698"/>
    <w:rsid w:val="00DF3C13"/>
    <w:rsid w:val="00DF4778"/>
    <w:rsid w:val="00DF5F9C"/>
    <w:rsid w:val="00DF71F8"/>
    <w:rsid w:val="00DF7946"/>
    <w:rsid w:val="00E001AB"/>
    <w:rsid w:val="00E02265"/>
    <w:rsid w:val="00E02836"/>
    <w:rsid w:val="00E0486E"/>
    <w:rsid w:val="00E048DA"/>
    <w:rsid w:val="00E060C3"/>
    <w:rsid w:val="00E06608"/>
    <w:rsid w:val="00E0711D"/>
    <w:rsid w:val="00E0756F"/>
    <w:rsid w:val="00E07FD3"/>
    <w:rsid w:val="00E10082"/>
    <w:rsid w:val="00E11A49"/>
    <w:rsid w:val="00E126B8"/>
    <w:rsid w:val="00E15B56"/>
    <w:rsid w:val="00E2018F"/>
    <w:rsid w:val="00E20335"/>
    <w:rsid w:val="00E2062A"/>
    <w:rsid w:val="00E2159B"/>
    <w:rsid w:val="00E22B42"/>
    <w:rsid w:val="00E22E2E"/>
    <w:rsid w:val="00E23001"/>
    <w:rsid w:val="00E23BA6"/>
    <w:rsid w:val="00E24AC8"/>
    <w:rsid w:val="00E25087"/>
    <w:rsid w:val="00E2608B"/>
    <w:rsid w:val="00E26649"/>
    <w:rsid w:val="00E272C6"/>
    <w:rsid w:val="00E3165D"/>
    <w:rsid w:val="00E32767"/>
    <w:rsid w:val="00E32E8B"/>
    <w:rsid w:val="00E33DF0"/>
    <w:rsid w:val="00E33DF2"/>
    <w:rsid w:val="00E34E7A"/>
    <w:rsid w:val="00E36EE8"/>
    <w:rsid w:val="00E37EC5"/>
    <w:rsid w:val="00E411CC"/>
    <w:rsid w:val="00E43DF7"/>
    <w:rsid w:val="00E45129"/>
    <w:rsid w:val="00E459C0"/>
    <w:rsid w:val="00E47C29"/>
    <w:rsid w:val="00E47E4C"/>
    <w:rsid w:val="00E51103"/>
    <w:rsid w:val="00E5182D"/>
    <w:rsid w:val="00E51E20"/>
    <w:rsid w:val="00E526CC"/>
    <w:rsid w:val="00E5515C"/>
    <w:rsid w:val="00E55632"/>
    <w:rsid w:val="00E558CE"/>
    <w:rsid w:val="00E562A2"/>
    <w:rsid w:val="00E56911"/>
    <w:rsid w:val="00E573A2"/>
    <w:rsid w:val="00E57464"/>
    <w:rsid w:val="00E575E0"/>
    <w:rsid w:val="00E57691"/>
    <w:rsid w:val="00E57B6C"/>
    <w:rsid w:val="00E607EF"/>
    <w:rsid w:val="00E617CF"/>
    <w:rsid w:val="00E619C1"/>
    <w:rsid w:val="00E61E5C"/>
    <w:rsid w:val="00E61F30"/>
    <w:rsid w:val="00E62544"/>
    <w:rsid w:val="00E64B2B"/>
    <w:rsid w:val="00E656F0"/>
    <w:rsid w:val="00E65930"/>
    <w:rsid w:val="00E660B4"/>
    <w:rsid w:val="00E70E54"/>
    <w:rsid w:val="00E7178C"/>
    <w:rsid w:val="00E71AF9"/>
    <w:rsid w:val="00E71D90"/>
    <w:rsid w:val="00E74619"/>
    <w:rsid w:val="00E7527E"/>
    <w:rsid w:val="00E75BE7"/>
    <w:rsid w:val="00E75CDD"/>
    <w:rsid w:val="00E75F15"/>
    <w:rsid w:val="00E828B8"/>
    <w:rsid w:val="00E83D97"/>
    <w:rsid w:val="00E8580A"/>
    <w:rsid w:val="00E87E40"/>
    <w:rsid w:val="00E90424"/>
    <w:rsid w:val="00E909FF"/>
    <w:rsid w:val="00E90AC0"/>
    <w:rsid w:val="00E9137E"/>
    <w:rsid w:val="00E947AC"/>
    <w:rsid w:val="00E94967"/>
    <w:rsid w:val="00E95406"/>
    <w:rsid w:val="00E9686C"/>
    <w:rsid w:val="00E97F2C"/>
    <w:rsid w:val="00EA04F9"/>
    <w:rsid w:val="00EA200F"/>
    <w:rsid w:val="00EA2859"/>
    <w:rsid w:val="00EA2955"/>
    <w:rsid w:val="00EA4787"/>
    <w:rsid w:val="00EA66EE"/>
    <w:rsid w:val="00EA7ED7"/>
    <w:rsid w:val="00EB108A"/>
    <w:rsid w:val="00EB1A1F"/>
    <w:rsid w:val="00EB36F6"/>
    <w:rsid w:val="00EB3D78"/>
    <w:rsid w:val="00EC076D"/>
    <w:rsid w:val="00EC0921"/>
    <w:rsid w:val="00EC1272"/>
    <w:rsid w:val="00EC25DB"/>
    <w:rsid w:val="00EC272C"/>
    <w:rsid w:val="00EC2B94"/>
    <w:rsid w:val="00EC406F"/>
    <w:rsid w:val="00EC4B9A"/>
    <w:rsid w:val="00EC5482"/>
    <w:rsid w:val="00EC7A6A"/>
    <w:rsid w:val="00ED1851"/>
    <w:rsid w:val="00ED6059"/>
    <w:rsid w:val="00ED61F0"/>
    <w:rsid w:val="00ED69B9"/>
    <w:rsid w:val="00ED6F50"/>
    <w:rsid w:val="00EE0F98"/>
    <w:rsid w:val="00EE100D"/>
    <w:rsid w:val="00EE1BB0"/>
    <w:rsid w:val="00EE227B"/>
    <w:rsid w:val="00EE351E"/>
    <w:rsid w:val="00EE372C"/>
    <w:rsid w:val="00EE3B35"/>
    <w:rsid w:val="00EE3EC3"/>
    <w:rsid w:val="00EE57DF"/>
    <w:rsid w:val="00EE60A5"/>
    <w:rsid w:val="00EE6212"/>
    <w:rsid w:val="00EE63BF"/>
    <w:rsid w:val="00EF03E1"/>
    <w:rsid w:val="00EF07E4"/>
    <w:rsid w:val="00EF136C"/>
    <w:rsid w:val="00EF314A"/>
    <w:rsid w:val="00EF43EE"/>
    <w:rsid w:val="00EF4BD0"/>
    <w:rsid w:val="00EF4E42"/>
    <w:rsid w:val="00EF5002"/>
    <w:rsid w:val="00EF5593"/>
    <w:rsid w:val="00EF587C"/>
    <w:rsid w:val="00EF6641"/>
    <w:rsid w:val="00EF75AA"/>
    <w:rsid w:val="00EF7B2F"/>
    <w:rsid w:val="00F00428"/>
    <w:rsid w:val="00F00432"/>
    <w:rsid w:val="00F01090"/>
    <w:rsid w:val="00F02675"/>
    <w:rsid w:val="00F03606"/>
    <w:rsid w:val="00F038E1"/>
    <w:rsid w:val="00F049FC"/>
    <w:rsid w:val="00F07C06"/>
    <w:rsid w:val="00F07E78"/>
    <w:rsid w:val="00F10336"/>
    <w:rsid w:val="00F105E9"/>
    <w:rsid w:val="00F11892"/>
    <w:rsid w:val="00F1191D"/>
    <w:rsid w:val="00F11EE2"/>
    <w:rsid w:val="00F12036"/>
    <w:rsid w:val="00F12543"/>
    <w:rsid w:val="00F126B1"/>
    <w:rsid w:val="00F139DB"/>
    <w:rsid w:val="00F14246"/>
    <w:rsid w:val="00F15635"/>
    <w:rsid w:val="00F177F0"/>
    <w:rsid w:val="00F17F36"/>
    <w:rsid w:val="00F20489"/>
    <w:rsid w:val="00F21E2C"/>
    <w:rsid w:val="00F21EB9"/>
    <w:rsid w:val="00F22B2D"/>
    <w:rsid w:val="00F23F9B"/>
    <w:rsid w:val="00F24436"/>
    <w:rsid w:val="00F2450A"/>
    <w:rsid w:val="00F25BF8"/>
    <w:rsid w:val="00F26B02"/>
    <w:rsid w:val="00F27C10"/>
    <w:rsid w:val="00F30C96"/>
    <w:rsid w:val="00F3153C"/>
    <w:rsid w:val="00F32C90"/>
    <w:rsid w:val="00F334E1"/>
    <w:rsid w:val="00F340EF"/>
    <w:rsid w:val="00F34346"/>
    <w:rsid w:val="00F3469E"/>
    <w:rsid w:val="00F3523A"/>
    <w:rsid w:val="00F3547E"/>
    <w:rsid w:val="00F36E5D"/>
    <w:rsid w:val="00F37F52"/>
    <w:rsid w:val="00F4057D"/>
    <w:rsid w:val="00F4189A"/>
    <w:rsid w:val="00F41E6A"/>
    <w:rsid w:val="00F42252"/>
    <w:rsid w:val="00F43993"/>
    <w:rsid w:val="00F444A5"/>
    <w:rsid w:val="00F4464C"/>
    <w:rsid w:val="00F44920"/>
    <w:rsid w:val="00F44BC5"/>
    <w:rsid w:val="00F44D55"/>
    <w:rsid w:val="00F44E70"/>
    <w:rsid w:val="00F45C54"/>
    <w:rsid w:val="00F464D6"/>
    <w:rsid w:val="00F4774B"/>
    <w:rsid w:val="00F51EBD"/>
    <w:rsid w:val="00F52F83"/>
    <w:rsid w:val="00F53D5A"/>
    <w:rsid w:val="00F540A9"/>
    <w:rsid w:val="00F55E90"/>
    <w:rsid w:val="00F57495"/>
    <w:rsid w:val="00F577BC"/>
    <w:rsid w:val="00F57C5B"/>
    <w:rsid w:val="00F57F1D"/>
    <w:rsid w:val="00F60728"/>
    <w:rsid w:val="00F60A91"/>
    <w:rsid w:val="00F61D3C"/>
    <w:rsid w:val="00F61ED9"/>
    <w:rsid w:val="00F61F7D"/>
    <w:rsid w:val="00F63C2A"/>
    <w:rsid w:val="00F64D54"/>
    <w:rsid w:val="00F66F42"/>
    <w:rsid w:val="00F6744D"/>
    <w:rsid w:val="00F67554"/>
    <w:rsid w:val="00F67957"/>
    <w:rsid w:val="00F70417"/>
    <w:rsid w:val="00F7107B"/>
    <w:rsid w:val="00F72384"/>
    <w:rsid w:val="00F7245A"/>
    <w:rsid w:val="00F73536"/>
    <w:rsid w:val="00F73BD9"/>
    <w:rsid w:val="00F74106"/>
    <w:rsid w:val="00F762CC"/>
    <w:rsid w:val="00F76B75"/>
    <w:rsid w:val="00F76D65"/>
    <w:rsid w:val="00F77085"/>
    <w:rsid w:val="00F77116"/>
    <w:rsid w:val="00F804E7"/>
    <w:rsid w:val="00F80FEC"/>
    <w:rsid w:val="00F81902"/>
    <w:rsid w:val="00F82AB1"/>
    <w:rsid w:val="00F830A0"/>
    <w:rsid w:val="00F92C55"/>
    <w:rsid w:val="00F93470"/>
    <w:rsid w:val="00F93701"/>
    <w:rsid w:val="00F949C5"/>
    <w:rsid w:val="00F9624E"/>
    <w:rsid w:val="00F96670"/>
    <w:rsid w:val="00F96E0F"/>
    <w:rsid w:val="00F97606"/>
    <w:rsid w:val="00FA10F3"/>
    <w:rsid w:val="00FA111D"/>
    <w:rsid w:val="00FA152B"/>
    <w:rsid w:val="00FA2CC4"/>
    <w:rsid w:val="00FA6A6A"/>
    <w:rsid w:val="00FA6A84"/>
    <w:rsid w:val="00FA6A98"/>
    <w:rsid w:val="00FA6F41"/>
    <w:rsid w:val="00FA7D4E"/>
    <w:rsid w:val="00FB1B86"/>
    <w:rsid w:val="00FB2C06"/>
    <w:rsid w:val="00FB2F42"/>
    <w:rsid w:val="00FB43EC"/>
    <w:rsid w:val="00FB5225"/>
    <w:rsid w:val="00FB560A"/>
    <w:rsid w:val="00FB6C52"/>
    <w:rsid w:val="00FB7ECD"/>
    <w:rsid w:val="00FC12E3"/>
    <w:rsid w:val="00FC1508"/>
    <w:rsid w:val="00FC28AE"/>
    <w:rsid w:val="00FC3D9B"/>
    <w:rsid w:val="00FC68F8"/>
    <w:rsid w:val="00FD0CB4"/>
    <w:rsid w:val="00FD17F9"/>
    <w:rsid w:val="00FD31E6"/>
    <w:rsid w:val="00FD62A0"/>
    <w:rsid w:val="00FD6391"/>
    <w:rsid w:val="00FD6DAF"/>
    <w:rsid w:val="00FE02B1"/>
    <w:rsid w:val="00FE0777"/>
    <w:rsid w:val="00FE0843"/>
    <w:rsid w:val="00FE0A00"/>
    <w:rsid w:val="00FE1C71"/>
    <w:rsid w:val="00FE2B74"/>
    <w:rsid w:val="00FE2BF5"/>
    <w:rsid w:val="00FE2CB8"/>
    <w:rsid w:val="00FE3AB8"/>
    <w:rsid w:val="00FE3B9D"/>
    <w:rsid w:val="00FE534B"/>
    <w:rsid w:val="00FE549C"/>
    <w:rsid w:val="00FE563C"/>
    <w:rsid w:val="00FE5B2E"/>
    <w:rsid w:val="00FE5E93"/>
    <w:rsid w:val="00FE5FE6"/>
    <w:rsid w:val="00FE63B3"/>
    <w:rsid w:val="00FE7059"/>
    <w:rsid w:val="00FE7598"/>
    <w:rsid w:val="00FE7ECC"/>
    <w:rsid w:val="00FF0690"/>
    <w:rsid w:val="00FF0C3C"/>
    <w:rsid w:val="00FF2903"/>
    <w:rsid w:val="00FF399A"/>
    <w:rsid w:val="00FF4105"/>
    <w:rsid w:val="00FF4EE8"/>
    <w:rsid w:val="00FF5437"/>
    <w:rsid w:val="00FF69C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2CB8"/>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FE2CB8"/>
    <w:pPr>
      <w:keepNext/>
      <w:overflowPunct/>
      <w:adjustRightInd/>
      <w:textAlignment w:val="auto"/>
      <w:outlineLvl w:val="0"/>
    </w:pPr>
    <w:rPr>
      <w:b/>
      <w:bCs/>
      <w:sz w:val="32"/>
      <w:szCs w:val="24"/>
    </w:rPr>
  </w:style>
  <w:style w:type="paragraph" w:styleId="Heading2">
    <w:name w:val="heading 2"/>
    <w:basedOn w:val="Normal"/>
    <w:next w:val="Normal"/>
    <w:link w:val="Heading2Char"/>
    <w:uiPriority w:val="9"/>
    <w:qFormat/>
    <w:rsid w:val="00FE2CB8"/>
    <w:pPr>
      <w:keepNext/>
      <w:overflowPunct/>
      <w:autoSpaceDE/>
      <w:autoSpaceDN/>
      <w:adjustRightInd/>
      <w:ind w:left="162"/>
      <w:jc w:val="center"/>
      <w:textAlignment w:val="auto"/>
      <w:outlineLvl w:val="1"/>
    </w:pPr>
    <w:rPr>
      <w:rFonts w:cs="Traditional Arabic"/>
      <w:b/>
      <w:bCs/>
      <w:noProof/>
      <w:sz w:val="18"/>
      <w:szCs w:val="21"/>
    </w:rPr>
  </w:style>
  <w:style w:type="paragraph" w:styleId="Heading3">
    <w:name w:val="heading 3"/>
    <w:basedOn w:val="Normal"/>
    <w:next w:val="Normal"/>
    <w:link w:val="Heading3Char"/>
    <w:uiPriority w:val="9"/>
    <w:qFormat/>
    <w:rsid w:val="00FE2CB8"/>
    <w:pPr>
      <w:keepNext/>
      <w:outlineLvl w:val="2"/>
    </w:pPr>
    <w:rPr>
      <w:rFonts w:cs="Traditional Arabic"/>
      <w:b/>
      <w:bCs/>
      <w:sz w:val="24"/>
      <w:szCs w:val="24"/>
    </w:rPr>
  </w:style>
  <w:style w:type="paragraph" w:styleId="Heading4">
    <w:name w:val="heading 4"/>
    <w:basedOn w:val="Normal"/>
    <w:next w:val="Normal"/>
    <w:link w:val="Heading4Char"/>
    <w:uiPriority w:val="9"/>
    <w:qFormat/>
    <w:rsid w:val="00FE2CB8"/>
    <w:pPr>
      <w:keepNext/>
      <w:outlineLvl w:val="3"/>
    </w:pPr>
    <w:rPr>
      <w:b/>
      <w:bCs/>
    </w:rPr>
  </w:style>
  <w:style w:type="paragraph" w:styleId="Heading5">
    <w:name w:val="heading 5"/>
    <w:basedOn w:val="Normal"/>
    <w:next w:val="Normal"/>
    <w:link w:val="Heading5Char"/>
    <w:uiPriority w:val="9"/>
    <w:qFormat/>
    <w:rsid w:val="00FE2CB8"/>
    <w:pPr>
      <w:keepNext/>
      <w:overflowPunct/>
      <w:autoSpaceDE/>
      <w:autoSpaceDN/>
      <w:adjustRightInd/>
      <w:jc w:val="center"/>
      <w:textAlignment w:val="auto"/>
      <w:outlineLvl w:val="4"/>
    </w:pPr>
    <w:rPr>
      <w:rFonts w:cs="Traditional Arabic"/>
      <w:b/>
      <w:bCs/>
      <w:noProof/>
      <w:sz w:val="28"/>
      <w:szCs w:val="33"/>
    </w:rPr>
  </w:style>
  <w:style w:type="paragraph" w:styleId="Heading6">
    <w:name w:val="heading 6"/>
    <w:basedOn w:val="Normal"/>
    <w:next w:val="Normal"/>
    <w:link w:val="Heading6Char"/>
    <w:uiPriority w:val="9"/>
    <w:qFormat/>
    <w:rsid w:val="00FE2CB8"/>
    <w:pPr>
      <w:keepNext/>
      <w:overflowPunct/>
      <w:autoSpaceDE/>
      <w:autoSpaceDN/>
      <w:bidi/>
      <w:adjustRightInd/>
      <w:ind w:right="176"/>
      <w:jc w:val="right"/>
      <w:textAlignment w:val="auto"/>
      <w:outlineLvl w:val="5"/>
    </w:pPr>
    <w:rPr>
      <w:rFonts w:cs="Traditional Arabic"/>
      <w:b/>
      <w:bCs/>
      <w:noProof/>
      <w:sz w:val="18"/>
      <w:szCs w:val="21"/>
    </w:rPr>
  </w:style>
  <w:style w:type="paragraph" w:styleId="Heading7">
    <w:name w:val="heading 7"/>
    <w:basedOn w:val="Normal"/>
    <w:next w:val="Normal"/>
    <w:link w:val="Heading7Char"/>
    <w:uiPriority w:val="9"/>
    <w:qFormat/>
    <w:rsid w:val="00FE2CB8"/>
    <w:pPr>
      <w:keepNext/>
      <w:overflowPunct/>
      <w:autoSpaceDE/>
      <w:autoSpaceDN/>
      <w:adjustRightInd/>
      <w:textAlignment w:val="auto"/>
      <w:outlineLvl w:val="6"/>
    </w:pPr>
    <w:rPr>
      <w:rFonts w:cs="Traditional Arabic"/>
      <w:b/>
      <w:bCs/>
      <w:noProof/>
      <w:sz w:val="18"/>
      <w:szCs w:val="21"/>
    </w:rPr>
  </w:style>
  <w:style w:type="paragraph" w:styleId="Heading9">
    <w:name w:val="heading 9"/>
    <w:basedOn w:val="Normal"/>
    <w:next w:val="Normal"/>
    <w:link w:val="Heading9Char"/>
    <w:uiPriority w:val="9"/>
    <w:semiHidden/>
    <w:unhideWhenUsed/>
    <w:qFormat/>
    <w:rsid w:val="001F274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4532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locked/>
    <w:rsid w:val="00B4532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sid w:val="00B4532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sid w:val="00B4532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locked/>
    <w:rsid w:val="00B4532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locked/>
    <w:rsid w:val="00B4532E"/>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locked/>
    <w:rsid w:val="00B4532E"/>
    <w:rPr>
      <w:rFonts w:asciiTheme="minorHAnsi" w:eastAsiaTheme="minorEastAsia" w:hAnsiTheme="minorHAnsi" w:cstheme="minorBidi"/>
      <w:sz w:val="24"/>
      <w:szCs w:val="24"/>
    </w:rPr>
  </w:style>
  <w:style w:type="character" w:customStyle="1" w:styleId="Heading9Char">
    <w:name w:val="Heading 9 Char"/>
    <w:basedOn w:val="DefaultParagraphFont"/>
    <w:link w:val="Heading9"/>
    <w:uiPriority w:val="9"/>
    <w:semiHidden/>
    <w:locked/>
    <w:rsid w:val="001F2744"/>
    <w:rPr>
      <w:rFonts w:ascii="Cambria" w:hAnsi="Cambria" w:cs="Times New Roman"/>
      <w:sz w:val="22"/>
      <w:szCs w:val="22"/>
    </w:rPr>
  </w:style>
  <w:style w:type="paragraph" w:styleId="Header">
    <w:name w:val="header"/>
    <w:basedOn w:val="Normal"/>
    <w:link w:val="HeaderChar"/>
    <w:uiPriority w:val="99"/>
    <w:rsid w:val="00FE2CB8"/>
    <w:pPr>
      <w:tabs>
        <w:tab w:val="center" w:pos="4153"/>
        <w:tab w:val="right" w:pos="8306"/>
      </w:tabs>
    </w:pPr>
  </w:style>
  <w:style w:type="character" w:customStyle="1" w:styleId="HeaderChar">
    <w:name w:val="Header Char"/>
    <w:basedOn w:val="DefaultParagraphFont"/>
    <w:link w:val="Header"/>
    <w:uiPriority w:val="99"/>
    <w:locked/>
    <w:rsid w:val="00B5698C"/>
    <w:rPr>
      <w:rFonts w:cs="Times New Roman"/>
    </w:rPr>
  </w:style>
  <w:style w:type="paragraph" w:styleId="Footer">
    <w:name w:val="footer"/>
    <w:basedOn w:val="Normal"/>
    <w:link w:val="FooterChar"/>
    <w:uiPriority w:val="99"/>
    <w:rsid w:val="00FE2CB8"/>
    <w:pPr>
      <w:tabs>
        <w:tab w:val="center" w:pos="4153"/>
        <w:tab w:val="right" w:pos="8306"/>
      </w:tabs>
    </w:pPr>
  </w:style>
  <w:style w:type="character" w:customStyle="1" w:styleId="FooterChar">
    <w:name w:val="Footer Char"/>
    <w:basedOn w:val="DefaultParagraphFont"/>
    <w:link w:val="Footer"/>
    <w:uiPriority w:val="99"/>
    <w:locked/>
    <w:rsid w:val="00940590"/>
    <w:rPr>
      <w:rFonts w:cs="Times New Roman"/>
    </w:rPr>
  </w:style>
  <w:style w:type="paragraph" w:styleId="Title">
    <w:name w:val="Title"/>
    <w:basedOn w:val="Normal"/>
    <w:link w:val="TitleChar"/>
    <w:uiPriority w:val="10"/>
    <w:qFormat/>
    <w:rsid w:val="00FE2CB8"/>
    <w:pPr>
      <w:overflowPunct/>
      <w:autoSpaceDE/>
      <w:autoSpaceDN/>
      <w:bidi/>
      <w:adjustRightInd/>
      <w:jc w:val="center"/>
      <w:textAlignment w:val="auto"/>
    </w:pPr>
    <w:rPr>
      <w:rFonts w:cs="Simplified Arabic"/>
      <w:b/>
      <w:bCs/>
      <w:noProof/>
      <w:sz w:val="24"/>
      <w:szCs w:val="28"/>
    </w:rPr>
  </w:style>
  <w:style w:type="character" w:customStyle="1" w:styleId="TitleChar">
    <w:name w:val="Title Char"/>
    <w:basedOn w:val="DefaultParagraphFont"/>
    <w:link w:val="Title"/>
    <w:uiPriority w:val="10"/>
    <w:locked/>
    <w:rsid w:val="008625AF"/>
    <w:rPr>
      <w:rFonts w:cs="Simplified Arabic"/>
      <w:b/>
      <w:bCs/>
      <w:noProof/>
      <w:sz w:val="28"/>
      <w:szCs w:val="28"/>
    </w:rPr>
  </w:style>
  <w:style w:type="paragraph" w:customStyle="1" w:styleId="H1">
    <w:name w:val="H1"/>
    <w:basedOn w:val="Normal"/>
    <w:next w:val="Normal"/>
    <w:rsid w:val="00FE2CB8"/>
    <w:pPr>
      <w:keepNext/>
      <w:overflowPunct/>
      <w:adjustRightInd/>
      <w:spacing w:before="100" w:after="100"/>
      <w:textAlignment w:val="auto"/>
      <w:outlineLvl w:val="1"/>
    </w:pPr>
    <w:rPr>
      <w:b/>
      <w:bCs/>
      <w:kern w:val="36"/>
      <w:sz w:val="48"/>
      <w:szCs w:val="48"/>
    </w:rPr>
  </w:style>
  <w:style w:type="paragraph" w:styleId="Subtitle">
    <w:name w:val="Subtitle"/>
    <w:basedOn w:val="Normal"/>
    <w:link w:val="SubtitleChar"/>
    <w:uiPriority w:val="11"/>
    <w:qFormat/>
    <w:rsid w:val="00FE2CB8"/>
    <w:pPr>
      <w:ind w:left="135"/>
      <w:jc w:val="center"/>
    </w:pPr>
    <w:rPr>
      <w:rFonts w:cs="Traditional Arabic"/>
      <w:b/>
      <w:bCs/>
      <w:sz w:val="28"/>
      <w:szCs w:val="28"/>
    </w:rPr>
  </w:style>
  <w:style w:type="character" w:customStyle="1" w:styleId="SubtitleChar">
    <w:name w:val="Subtitle Char"/>
    <w:basedOn w:val="DefaultParagraphFont"/>
    <w:link w:val="Subtitle"/>
    <w:uiPriority w:val="11"/>
    <w:locked/>
    <w:rsid w:val="00B4532E"/>
    <w:rPr>
      <w:rFonts w:asciiTheme="majorHAnsi" w:eastAsiaTheme="majorEastAsia" w:hAnsiTheme="majorHAnsi" w:cstheme="majorBidi"/>
      <w:sz w:val="24"/>
      <w:szCs w:val="24"/>
    </w:rPr>
  </w:style>
  <w:style w:type="paragraph" w:styleId="BodyText">
    <w:name w:val="Body Text"/>
    <w:basedOn w:val="Normal"/>
    <w:link w:val="BodyTextChar"/>
    <w:uiPriority w:val="99"/>
    <w:semiHidden/>
    <w:rsid w:val="00FE2CB8"/>
    <w:pPr>
      <w:jc w:val="both"/>
    </w:pPr>
    <w:rPr>
      <w:rFonts w:cs="Traditional Arabic"/>
    </w:rPr>
  </w:style>
  <w:style w:type="character" w:customStyle="1" w:styleId="BodyTextChar">
    <w:name w:val="Body Text Char"/>
    <w:basedOn w:val="DefaultParagraphFont"/>
    <w:link w:val="BodyText"/>
    <w:uiPriority w:val="99"/>
    <w:semiHidden/>
    <w:locked/>
    <w:rsid w:val="00DC4287"/>
    <w:rPr>
      <w:rFonts w:cs="Traditional Arabic"/>
    </w:rPr>
  </w:style>
  <w:style w:type="character" w:styleId="PageNumber">
    <w:name w:val="page number"/>
    <w:basedOn w:val="DefaultParagraphFont"/>
    <w:uiPriority w:val="99"/>
    <w:semiHidden/>
    <w:rsid w:val="00FE2CB8"/>
    <w:rPr>
      <w:rFonts w:cs="Times New Roman"/>
    </w:rPr>
  </w:style>
  <w:style w:type="paragraph" w:styleId="BodyText2">
    <w:name w:val="Body Text 2"/>
    <w:basedOn w:val="Normal"/>
    <w:link w:val="BodyText2Char"/>
    <w:uiPriority w:val="99"/>
    <w:semiHidden/>
    <w:rsid w:val="00FE2CB8"/>
    <w:pPr>
      <w:jc w:val="lowKashida"/>
    </w:pPr>
  </w:style>
  <w:style w:type="character" w:customStyle="1" w:styleId="BodyText2Char">
    <w:name w:val="Body Text 2 Char"/>
    <w:basedOn w:val="DefaultParagraphFont"/>
    <w:link w:val="BodyText2"/>
    <w:uiPriority w:val="99"/>
    <w:semiHidden/>
    <w:locked/>
    <w:rsid w:val="008625AF"/>
    <w:rPr>
      <w:rFonts w:cs="Times New Roman"/>
    </w:rPr>
  </w:style>
  <w:style w:type="paragraph" w:styleId="BodyText3">
    <w:name w:val="Body Text 3"/>
    <w:basedOn w:val="Normal"/>
    <w:link w:val="BodyText3Char"/>
    <w:uiPriority w:val="99"/>
    <w:semiHidden/>
    <w:rsid w:val="00FE2CB8"/>
    <w:pPr>
      <w:jc w:val="both"/>
    </w:pPr>
    <w:rPr>
      <w:rFonts w:cs="Traditional Arabic"/>
      <w:b/>
      <w:bCs/>
    </w:rPr>
  </w:style>
  <w:style w:type="character" w:customStyle="1" w:styleId="BodyText3Char">
    <w:name w:val="Body Text 3 Char"/>
    <w:basedOn w:val="DefaultParagraphFont"/>
    <w:link w:val="BodyText3"/>
    <w:uiPriority w:val="99"/>
    <w:semiHidden/>
    <w:locked/>
    <w:rsid w:val="000D23AB"/>
    <w:rPr>
      <w:rFonts w:cs="Traditional Arabic"/>
      <w:b/>
      <w:bCs/>
    </w:rPr>
  </w:style>
  <w:style w:type="paragraph" w:styleId="BodyTextIndent">
    <w:name w:val="Body Text Indent"/>
    <w:basedOn w:val="Normal"/>
    <w:link w:val="BodyTextIndentChar"/>
    <w:uiPriority w:val="99"/>
    <w:semiHidden/>
    <w:rsid w:val="00FE2CB8"/>
    <w:pPr>
      <w:overflowPunct/>
      <w:autoSpaceDE/>
      <w:autoSpaceDN/>
      <w:adjustRightInd/>
      <w:ind w:left="714" w:hanging="357"/>
      <w:jc w:val="lowKashida"/>
      <w:textAlignment w:val="auto"/>
    </w:pPr>
    <w:rPr>
      <w:sz w:val="24"/>
      <w:szCs w:val="24"/>
    </w:rPr>
  </w:style>
  <w:style w:type="character" w:customStyle="1" w:styleId="BodyTextIndentChar">
    <w:name w:val="Body Text Indent Char"/>
    <w:basedOn w:val="DefaultParagraphFont"/>
    <w:link w:val="BodyTextIndent"/>
    <w:uiPriority w:val="99"/>
    <w:semiHidden/>
    <w:locked/>
    <w:rsid w:val="00B4532E"/>
    <w:rPr>
      <w:rFonts w:cs="Times New Roman"/>
    </w:rPr>
  </w:style>
  <w:style w:type="paragraph" w:styleId="BodyTextIndent2">
    <w:name w:val="Body Text Indent 2"/>
    <w:basedOn w:val="Normal"/>
    <w:link w:val="BodyTextIndent2Char"/>
    <w:uiPriority w:val="99"/>
    <w:semiHidden/>
    <w:rsid w:val="00FE2CB8"/>
    <w:pPr>
      <w:ind w:left="44"/>
    </w:pPr>
  </w:style>
  <w:style w:type="character" w:customStyle="1" w:styleId="BodyTextIndent2Char">
    <w:name w:val="Body Text Indent 2 Char"/>
    <w:basedOn w:val="DefaultParagraphFont"/>
    <w:link w:val="BodyTextIndent2"/>
    <w:uiPriority w:val="99"/>
    <w:semiHidden/>
    <w:locked/>
    <w:rsid w:val="00B4532E"/>
    <w:rPr>
      <w:rFonts w:cs="Times New Roman"/>
    </w:rPr>
  </w:style>
  <w:style w:type="paragraph" w:styleId="BodyTextIndent3">
    <w:name w:val="Body Text Indent 3"/>
    <w:basedOn w:val="Normal"/>
    <w:link w:val="BodyTextIndent3Char"/>
    <w:uiPriority w:val="99"/>
    <w:semiHidden/>
    <w:rsid w:val="00FE2CB8"/>
    <w:pPr>
      <w:ind w:left="44"/>
      <w:jc w:val="lowKashida"/>
    </w:pPr>
    <w:rPr>
      <w:color w:val="000000"/>
    </w:rPr>
  </w:style>
  <w:style w:type="character" w:customStyle="1" w:styleId="BodyTextIndent3Char">
    <w:name w:val="Body Text Indent 3 Char"/>
    <w:basedOn w:val="DefaultParagraphFont"/>
    <w:link w:val="BodyTextIndent3"/>
    <w:uiPriority w:val="99"/>
    <w:semiHidden/>
    <w:locked/>
    <w:rsid w:val="00B4532E"/>
    <w:rPr>
      <w:rFonts w:cs="Times New Roman"/>
      <w:sz w:val="16"/>
      <w:szCs w:val="16"/>
    </w:rPr>
  </w:style>
  <w:style w:type="paragraph" w:styleId="BlockText">
    <w:name w:val="Block Text"/>
    <w:basedOn w:val="Normal"/>
    <w:uiPriority w:val="99"/>
    <w:semiHidden/>
    <w:rsid w:val="001F2744"/>
    <w:pPr>
      <w:spacing w:after="120"/>
      <w:ind w:left="1440" w:right="1440"/>
    </w:pPr>
  </w:style>
  <w:style w:type="paragraph" w:styleId="CommentText">
    <w:name w:val="annotation text"/>
    <w:basedOn w:val="Normal"/>
    <w:link w:val="CommentTextChar"/>
    <w:uiPriority w:val="99"/>
    <w:semiHidden/>
    <w:rsid w:val="001F2744"/>
  </w:style>
  <w:style w:type="character" w:customStyle="1" w:styleId="CommentTextChar">
    <w:name w:val="Comment Text Char"/>
    <w:basedOn w:val="DefaultParagraphFont"/>
    <w:link w:val="CommentText"/>
    <w:uiPriority w:val="99"/>
    <w:semiHidden/>
    <w:locked/>
    <w:rsid w:val="001F2744"/>
    <w:rPr>
      <w:rFonts w:cs="Times New Roman"/>
    </w:rPr>
  </w:style>
  <w:style w:type="paragraph" w:styleId="Index1">
    <w:name w:val="index 1"/>
    <w:basedOn w:val="Normal"/>
    <w:next w:val="Normal"/>
    <w:autoRedefine/>
    <w:uiPriority w:val="99"/>
    <w:semiHidden/>
    <w:unhideWhenUsed/>
    <w:rsid w:val="001F2744"/>
    <w:pPr>
      <w:ind w:left="200" w:hanging="200"/>
    </w:pPr>
  </w:style>
  <w:style w:type="paragraph" w:styleId="IndexHeading">
    <w:name w:val="index heading"/>
    <w:basedOn w:val="Normal"/>
    <w:next w:val="Index1"/>
    <w:uiPriority w:val="99"/>
    <w:semiHidden/>
    <w:rsid w:val="001F2744"/>
    <w:rPr>
      <w:rFonts w:ascii="Arial" w:hAnsi="Arial" w:cs="Arial"/>
      <w:b/>
      <w:bCs/>
    </w:rPr>
  </w:style>
  <w:style w:type="paragraph" w:styleId="ListParagraph">
    <w:name w:val="List Paragraph"/>
    <w:basedOn w:val="Normal"/>
    <w:uiPriority w:val="34"/>
    <w:qFormat/>
    <w:rsid w:val="001C78D5"/>
    <w:pPr>
      <w:overflowPunct/>
      <w:autoSpaceDE/>
      <w:autoSpaceDN/>
      <w:bidi/>
      <w:adjustRightInd/>
      <w:ind w:left="720"/>
      <w:textAlignment w:val="auto"/>
    </w:pPr>
    <w:rPr>
      <w:rFonts w:cs="Simplified Arabic"/>
      <w:noProof/>
      <w:sz w:val="24"/>
    </w:rPr>
  </w:style>
  <w:style w:type="paragraph" w:styleId="BalloonText">
    <w:name w:val="Balloon Text"/>
    <w:basedOn w:val="Normal"/>
    <w:link w:val="BalloonTextChar"/>
    <w:uiPriority w:val="99"/>
    <w:semiHidden/>
    <w:unhideWhenUsed/>
    <w:rsid w:val="003E58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58F6"/>
    <w:rPr>
      <w:rFonts w:ascii="Tahoma" w:hAnsi="Tahoma" w:cs="Tahoma"/>
      <w:sz w:val="16"/>
      <w:szCs w:val="16"/>
      <w:lang w:val="en-US" w:eastAsia="en-US"/>
    </w:rPr>
  </w:style>
  <w:style w:type="paragraph" w:styleId="Revision">
    <w:name w:val="Revision"/>
    <w:hidden/>
    <w:uiPriority w:val="99"/>
    <w:semiHidden/>
    <w:rsid w:val="00F93470"/>
  </w:style>
  <w:style w:type="character" w:customStyle="1" w:styleId="hps">
    <w:name w:val="hps"/>
    <w:basedOn w:val="DefaultParagraphFont"/>
    <w:rsid w:val="004F26B2"/>
    <w:rPr>
      <w:rFonts w:cs="Times New Roman"/>
    </w:rPr>
  </w:style>
  <w:style w:type="character" w:customStyle="1" w:styleId="shorttext">
    <w:name w:val="short_text"/>
    <w:basedOn w:val="DefaultParagraphFont"/>
    <w:rsid w:val="00BD329D"/>
    <w:rPr>
      <w:rFonts w:cs="Times New Roman"/>
    </w:rPr>
  </w:style>
  <w:style w:type="character" w:customStyle="1" w:styleId="atn">
    <w:name w:val="atn"/>
    <w:basedOn w:val="DefaultParagraphFont"/>
    <w:rsid w:val="006A3BB8"/>
    <w:rPr>
      <w:rFonts w:cs="Times New Roman"/>
    </w:rPr>
  </w:style>
  <w:style w:type="paragraph" w:customStyle="1" w:styleId="xl23">
    <w:name w:val="xl23"/>
    <w:basedOn w:val="Normal"/>
    <w:rsid w:val="00981761"/>
    <w:pPr>
      <w:overflowPunct/>
      <w:autoSpaceDE/>
      <w:autoSpaceDN/>
      <w:adjustRightInd/>
      <w:spacing w:before="100" w:beforeAutospacing="1" w:after="100" w:afterAutospacing="1"/>
      <w:jc w:val="both"/>
      <w:textAlignment w:val="top"/>
    </w:pPr>
    <w:rPr>
      <w:rFonts w:eastAsia="Arial Unicode MS" w:cs="Arial Unicode MS"/>
      <w:sz w:val="24"/>
      <w:szCs w:val="24"/>
      <w:lang w:eastAsia="ar-SA"/>
    </w:rPr>
  </w:style>
  <w:style w:type="paragraph" w:styleId="FootnoteText">
    <w:name w:val="footnote text"/>
    <w:basedOn w:val="Normal"/>
    <w:link w:val="FootnoteTextChar"/>
    <w:uiPriority w:val="99"/>
    <w:semiHidden/>
    <w:rsid w:val="00750558"/>
    <w:pPr>
      <w:overflowPunct/>
      <w:autoSpaceDE/>
      <w:autoSpaceDN/>
      <w:adjustRightInd/>
      <w:textAlignment w:val="auto"/>
    </w:pPr>
    <w:rPr>
      <w:rFonts w:cs="Traditional Arabic"/>
      <w:noProof/>
      <w:szCs w:val="24"/>
      <w:lang w:eastAsia="ar-SA"/>
    </w:rPr>
  </w:style>
  <w:style w:type="character" w:customStyle="1" w:styleId="FootnoteTextChar">
    <w:name w:val="Footnote Text Char"/>
    <w:basedOn w:val="DefaultParagraphFont"/>
    <w:link w:val="FootnoteText"/>
    <w:uiPriority w:val="99"/>
    <w:semiHidden/>
    <w:locked/>
    <w:rsid w:val="00750558"/>
    <w:rPr>
      <w:rFonts w:cs="Traditional Arabic"/>
      <w:noProof/>
      <w:sz w:val="24"/>
      <w:szCs w:val="24"/>
      <w:lang w:eastAsia="ar-SA"/>
    </w:rPr>
  </w:style>
  <w:style w:type="character" w:styleId="FootnoteReference">
    <w:name w:val="footnote reference"/>
    <w:basedOn w:val="DefaultParagraphFont"/>
    <w:uiPriority w:val="99"/>
    <w:semiHidden/>
    <w:rsid w:val="00750558"/>
    <w:rPr>
      <w:rFonts w:cs="Times New Roman"/>
      <w:vertAlign w:val="superscript"/>
    </w:rPr>
  </w:style>
  <w:style w:type="table" w:styleId="TableGrid">
    <w:name w:val="Table Grid"/>
    <w:basedOn w:val="TableNormal"/>
    <w:uiPriority w:val="59"/>
    <w:rsid w:val="00195ED8"/>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93D80"/>
    <w:rPr>
      <w:sz w:val="16"/>
      <w:szCs w:val="16"/>
    </w:rPr>
  </w:style>
  <w:style w:type="paragraph" w:styleId="CommentSubject">
    <w:name w:val="annotation subject"/>
    <w:basedOn w:val="CommentText"/>
    <w:next w:val="CommentText"/>
    <w:link w:val="CommentSubjectChar"/>
    <w:uiPriority w:val="99"/>
    <w:semiHidden/>
    <w:unhideWhenUsed/>
    <w:rsid w:val="00B93D80"/>
    <w:rPr>
      <w:b/>
      <w:bCs/>
    </w:rPr>
  </w:style>
  <w:style w:type="character" w:customStyle="1" w:styleId="CommentSubjectChar">
    <w:name w:val="Comment Subject Char"/>
    <w:basedOn w:val="CommentTextChar"/>
    <w:link w:val="CommentSubject"/>
    <w:uiPriority w:val="99"/>
    <w:semiHidden/>
    <w:rsid w:val="00B93D80"/>
    <w:rPr>
      <w:rFonts w:cs="Times New Roman"/>
      <w:b/>
      <w:bCs/>
    </w:rPr>
  </w:style>
  <w:style w:type="character" w:customStyle="1" w:styleId="tlid-translation">
    <w:name w:val="tlid-translation"/>
    <w:basedOn w:val="DefaultParagraphFont"/>
    <w:rsid w:val="0011282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4614592">
      <w:bodyDiv w:val="1"/>
      <w:marLeft w:val="0"/>
      <w:marRight w:val="0"/>
      <w:marTop w:val="0"/>
      <w:marBottom w:val="0"/>
      <w:divBdr>
        <w:top w:val="none" w:sz="0" w:space="0" w:color="auto"/>
        <w:left w:val="none" w:sz="0" w:space="0" w:color="auto"/>
        <w:bottom w:val="none" w:sz="0" w:space="0" w:color="auto"/>
        <w:right w:val="none" w:sz="0" w:space="0" w:color="auto"/>
      </w:divBdr>
    </w:div>
    <w:div w:id="441732020">
      <w:bodyDiv w:val="1"/>
      <w:marLeft w:val="0"/>
      <w:marRight w:val="0"/>
      <w:marTop w:val="0"/>
      <w:marBottom w:val="0"/>
      <w:divBdr>
        <w:top w:val="none" w:sz="0" w:space="0" w:color="auto"/>
        <w:left w:val="none" w:sz="0" w:space="0" w:color="auto"/>
        <w:bottom w:val="none" w:sz="0" w:space="0" w:color="auto"/>
        <w:right w:val="none" w:sz="0" w:space="0" w:color="auto"/>
      </w:divBdr>
      <w:divsChild>
        <w:div w:id="1776904877">
          <w:marLeft w:val="0"/>
          <w:marRight w:val="0"/>
          <w:marTop w:val="0"/>
          <w:marBottom w:val="0"/>
          <w:divBdr>
            <w:top w:val="none" w:sz="0" w:space="0" w:color="auto"/>
            <w:left w:val="none" w:sz="0" w:space="0" w:color="auto"/>
            <w:bottom w:val="none" w:sz="0" w:space="0" w:color="auto"/>
            <w:right w:val="none" w:sz="0" w:space="0" w:color="auto"/>
          </w:divBdr>
          <w:divsChild>
            <w:div w:id="174882694">
              <w:marLeft w:val="0"/>
              <w:marRight w:val="0"/>
              <w:marTop w:val="0"/>
              <w:marBottom w:val="0"/>
              <w:divBdr>
                <w:top w:val="none" w:sz="0" w:space="0" w:color="auto"/>
                <w:left w:val="none" w:sz="0" w:space="0" w:color="auto"/>
                <w:bottom w:val="none" w:sz="0" w:space="0" w:color="auto"/>
                <w:right w:val="none" w:sz="0" w:space="0" w:color="auto"/>
              </w:divBdr>
              <w:divsChild>
                <w:div w:id="1903979011">
                  <w:marLeft w:val="0"/>
                  <w:marRight w:val="0"/>
                  <w:marTop w:val="0"/>
                  <w:marBottom w:val="0"/>
                  <w:divBdr>
                    <w:top w:val="none" w:sz="0" w:space="0" w:color="auto"/>
                    <w:left w:val="none" w:sz="0" w:space="0" w:color="auto"/>
                    <w:bottom w:val="none" w:sz="0" w:space="0" w:color="auto"/>
                    <w:right w:val="none" w:sz="0" w:space="0" w:color="auto"/>
                  </w:divBdr>
                  <w:divsChild>
                    <w:div w:id="2025667287">
                      <w:marLeft w:val="0"/>
                      <w:marRight w:val="0"/>
                      <w:marTop w:val="0"/>
                      <w:marBottom w:val="0"/>
                      <w:divBdr>
                        <w:top w:val="none" w:sz="0" w:space="0" w:color="auto"/>
                        <w:left w:val="none" w:sz="0" w:space="0" w:color="auto"/>
                        <w:bottom w:val="none" w:sz="0" w:space="0" w:color="auto"/>
                        <w:right w:val="none" w:sz="0" w:space="0" w:color="auto"/>
                      </w:divBdr>
                      <w:divsChild>
                        <w:div w:id="2125540805">
                          <w:marLeft w:val="0"/>
                          <w:marRight w:val="0"/>
                          <w:marTop w:val="0"/>
                          <w:marBottom w:val="0"/>
                          <w:divBdr>
                            <w:top w:val="none" w:sz="0" w:space="0" w:color="auto"/>
                            <w:left w:val="none" w:sz="0" w:space="0" w:color="auto"/>
                            <w:bottom w:val="none" w:sz="0" w:space="0" w:color="auto"/>
                            <w:right w:val="none" w:sz="0" w:space="0" w:color="auto"/>
                          </w:divBdr>
                          <w:divsChild>
                            <w:div w:id="1506745970">
                              <w:marLeft w:val="0"/>
                              <w:marRight w:val="0"/>
                              <w:marTop w:val="0"/>
                              <w:marBottom w:val="0"/>
                              <w:divBdr>
                                <w:top w:val="none" w:sz="0" w:space="0" w:color="auto"/>
                                <w:left w:val="none" w:sz="0" w:space="0" w:color="auto"/>
                                <w:bottom w:val="none" w:sz="0" w:space="0" w:color="auto"/>
                                <w:right w:val="none" w:sz="0" w:space="0" w:color="auto"/>
                              </w:divBdr>
                              <w:divsChild>
                                <w:div w:id="859469418">
                                  <w:marLeft w:val="0"/>
                                  <w:marRight w:val="0"/>
                                  <w:marTop w:val="0"/>
                                  <w:marBottom w:val="0"/>
                                  <w:divBdr>
                                    <w:top w:val="none" w:sz="0" w:space="0" w:color="auto"/>
                                    <w:left w:val="none" w:sz="0" w:space="0" w:color="auto"/>
                                    <w:bottom w:val="none" w:sz="0" w:space="0" w:color="auto"/>
                                    <w:right w:val="none" w:sz="0" w:space="0" w:color="auto"/>
                                  </w:divBdr>
                                  <w:divsChild>
                                    <w:div w:id="285357328">
                                      <w:marLeft w:val="0"/>
                                      <w:marRight w:val="0"/>
                                      <w:marTop w:val="0"/>
                                      <w:marBottom w:val="0"/>
                                      <w:divBdr>
                                        <w:top w:val="none" w:sz="0" w:space="0" w:color="auto"/>
                                        <w:left w:val="none" w:sz="0" w:space="0" w:color="auto"/>
                                        <w:bottom w:val="none" w:sz="0" w:space="0" w:color="auto"/>
                                        <w:right w:val="none" w:sz="0" w:space="0" w:color="auto"/>
                                      </w:divBdr>
                                      <w:divsChild>
                                        <w:div w:id="1812361308">
                                          <w:marLeft w:val="0"/>
                                          <w:marRight w:val="0"/>
                                          <w:marTop w:val="0"/>
                                          <w:marBottom w:val="330"/>
                                          <w:divBdr>
                                            <w:top w:val="none" w:sz="0" w:space="0" w:color="auto"/>
                                            <w:left w:val="none" w:sz="0" w:space="0" w:color="auto"/>
                                            <w:bottom w:val="none" w:sz="0" w:space="0" w:color="auto"/>
                                            <w:right w:val="none" w:sz="0" w:space="0" w:color="auto"/>
                                          </w:divBdr>
                                          <w:divsChild>
                                            <w:div w:id="136841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7005721">
      <w:bodyDiv w:val="1"/>
      <w:marLeft w:val="0"/>
      <w:marRight w:val="0"/>
      <w:marTop w:val="0"/>
      <w:marBottom w:val="0"/>
      <w:divBdr>
        <w:top w:val="none" w:sz="0" w:space="0" w:color="auto"/>
        <w:left w:val="none" w:sz="0" w:space="0" w:color="auto"/>
        <w:bottom w:val="none" w:sz="0" w:space="0" w:color="auto"/>
        <w:right w:val="none" w:sz="0" w:space="0" w:color="auto"/>
      </w:divBdr>
      <w:divsChild>
        <w:div w:id="922109784">
          <w:marLeft w:val="0"/>
          <w:marRight w:val="0"/>
          <w:marTop w:val="0"/>
          <w:marBottom w:val="0"/>
          <w:divBdr>
            <w:top w:val="none" w:sz="0" w:space="0" w:color="auto"/>
            <w:left w:val="none" w:sz="0" w:space="0" w:color="auto"/>
            <w:bottom w:val="none" w:sz="0" w:space="0" w:color="auto"/>
            <w:right w:val="none" w:sz="0" w:space="0" w:color="auto"/>
          </w:divBdr>
          <w:divsChild>
            <w:div w:id="526724467">
              <w:marLeft w:val="0"/>
              <w:marRight w:val="0"/>
              <w:marTop w:val="0"/>
              <w:marBottom w:val="0"/>
              <w:divBdr>
                <w:top w:val="none" w:sz="0" w:space="0" w:color="auto"/>
                <w:left w:val="none" w:sz="0" w:space="0" w:color="auto"/>
                <w:bottom w:val="none" w:sz="0" w:space="0" w:color="auto"/>
                <w:right w:val="none" w:sz="0" w:space="0" w:color="auto"/>
              </w:divBdr>
              <w:divsChild>
                <w:div w:id="993799068">
                  <w:marLeft w:val="0"/>
                  <w:marRight w:val="0"/>
                  <w:marTop w:val="0"/>
                  <w:marBottom w:val="0"/>
                  <w:divBdr>
                    <w:top w:val="none" w:sz="0" w:space="0" w:color="auto"/>
                    <w:left w:val="none" w:sz="0" w:space="0" w:color="auto"/>
                    <w:bottom w:val="none" w:sz="0" w:space="0" w:color="auto"/>
                    <w:right w:val="none" w:sz="0" w:space="0" w:color="auto"/>
                  </w:divBdr>
                  <w:divsChild>
                    <w:div w:id="1022895295">
                      <w:marLeft w:val="0"/>
                      <w:marRight w:val="0"/>
                      <w:marTop w:val="0"/>
                      <w:marBottom w:val="0"/>
                      <w:divBdr>
                        <w:top w:val="none" w:sz="0" w:space="0" w:color="auto"/>
                        <w:left w:val="none" w:sz="0" w:space="0" w:color="auto"/>
                        <w:bottom w:val="none" w:sz="0" w:space="0" w:color="auto"/>
                        <w:right w:val="none" w:sz="0" w:space="0" w:color="auto"/>
                      </w:divBdr>
                      <w:divsChild>
                        <w:div w:id="862324571">
                          <w:marLeft w:val="0"/>
                          <w:marRight w:val="0"/>
                          <w:marTop w:val="0"/>
                          <w:marBottom w:val="0"/>
                          <w:divBdr>
                            <w:top w:val="none" w:sz="0" w:space="0" w:color="auto"/>
                            <w:left w:val="none" w:sz="0" w:space="0" w:color="auto"/>
                            <w:bottom w:val="none" w:sz="0" w:space="0" w:color="auto"/>
                            <w:right w:val="none" w:sz="0" w:space="0" w:color="auto"/>
                          </w:divBdr>
                          <w:divsChild>
                            <w:div w:id="1058018644">
                              <w:marLeft w:val="0"/>
                              <w:marRight w:val="0"/>
                              <w:marTop w:val="0"/>
                              <w:marBottom w:val="0"/>
                              <w:divBdr>
                                <w:top w:val="none" w:sz="0" w:space="0" w:color="auto"/>
                                <w:left w:val="none" w:sz="0" w:space="0" w:color="auto"/>
                                <w:bottom w:val="none" w:sz="0" w:space="0" w:color="auto"/>
                                <w:right w:val="none" w:sz="0" w:space="0" w:color="auto"/>
                              </w:divBdr>
                              <w:divsChild>
                                <w:div w:id="1374503562">
                                  <w:marLeft w:val="0"/>
                                  <w:marRight w:val="0"/>
                                  <w:marTop w:val="0"/>
                                  <w:marBottom w:val="0"/>
                                  <w:divBdr>
                                    <w:top w:val="none" w:sz="0" w:space="0" w:color="auto"/>
                                    <w:left w:val="none" w:sz="0" w:space="0" w:color="auto"/>
                                    <w:bottom w:val="none" w:sz="0" w:space="0" w:color="auto"/>
                                    <w:right w:val="none" w:sz="0" w:space="0" w:color="auto"/>
                                  </w:divBdr>
                                  <w:divsChild>
                                    <w:div w:id="1175001889">
                                      <w:marLeft w:val="0"/>
                                      <w:marRight w:val="0"/>
                                      <w:marTop w:val="0"/>
                                      <w:marBottom w:val="0"/>
                                      <w:divBdr>
                                        <w:top w:val="none" w:sz="0" w:space="0" w:color="auto"/>
                                        <w:left w:val="none" w:sz="0" w:space="0" w:color="auto"/>
                                        <w:bottom w:val="none" w:sz="0" w:space="0" w:color="auto"/>
                                        <w:right w:val="none" w:sz="0" w:space="0" w:color="auto"/>
                                      </w:divBdr>
                                      <w:divsChild>
                                        <w:div w:id="1390032404">
                                          <w:marLeft w:val="0"/>
                                          <w:marRight w:val="0"/>
                                          <w:marTop w:val="0"/>
                                          <w:marBottom w:val="330"/>
                                          <w:divBdr>
                                            <w:top w:val="none" w:sz="0" w:space="0" w:color="auto"/>
                                            <w:left w:val="none" w:sz="0" w:space="0" w:color="auto"/>
                                            <w:bottom w:val="none" w:sz="0" w:space="0" w:color="auto"/>
                                            <w:right w:val="none" w:sz="0" w:space="0" w:color="auto"/>
                                          </w:divBdr>
                                          <w:divsChild>
                                            <w:div w:id="4236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0286442">
      <w:bodyDiv w:val="1"/>
      <w:marLeft w:val="0"/>
      <w:marRight w:val="0"/>
      <w:marTop w:val="0"/>
      <w:marBottom w:val="0"/>
      <w:divBdr>
        <w:top w:val="none" w:sz="0" w:space="0" w:color="auto"/>
        <w:left w:val="none" w:sz="0" w:space="0" w:color="auto"/>
        <w:bottom w:val="none" w:sz="0" w:space="0" w:color="auto"/>
        <w:right w:val="none" w:sz="0" w:space="0" w:color="auto"/>
      </w:divBdr>
      <w:divsChild>
        <w:div w:id="1799102017">
          <w:marLeft w:val="0"/>
          <w:marRight w:val="0"/>
          <w:marTop w:val="0"/>
          <w:marBottom w:val="0"/>
          <w:divBdr>
            <w:top w:val="none" w:sz="0" w:space="0" w:color="auto"/>
            <w:left w:val="none" w:sz="0" w:space="0" w:color="auto"/>
            <w:bottom w:val="none" w:sz="0" w:space="0" w:color="auto"/>
            <w:right w:val="none" w:sz="0" w:space="0" w:color="auto"/>
          </w:divBdr>
          <w:divsChild>
            <w:div w:id="1139495214">
              <w:marLeft w:val="0"/>
              <w:marRight w:val="0"/>
              <w:marTop w:val="0"/>
              <w:marBottom w:val="0"/>
              <w:divBdr>
                <w:top w:val="none" w:sz="0" w:space="0" w:color="auto"/>
                <w:left w:val="none" w:sz="0" w:space="0" w:color="auto"/>
                <w:bottom w:val="none" w:sz="0" w:space="0" w:color="auto"/>
                <w:right w:val="none" w:sz="0" w:space="0" w:color="auto"/>
              </w:divBdr>
              <w:divsChild>
                <w:div w:id="42484802">
                  <w:marLeft w:val="0"/>
                  <w:marRight w:val="0"/>
                  <w:marTop w:val="0"/>
                  <w:marBottom w:val="0"/>
                  <w:divBdr>
                    <w:top w:val="none" w:sz="0" w:space="0" w:color="auto"/>
                    <w:left w:val="none" w:sz="0" w:space="0" w:color="auto"/>
                    <w:bottom w:val="none" w:sz="0" w:space="0" w:color="auto"/>
                    <w:right w:val="none" w:sz="0" w:space="0" w:color="auto"/>
                  </w:divBdr>
                  <w:divsChild>
                    <w:div w:id="2005085254">
                      <w:marLeft w:val="0"/>
                      <w:marRight w:val="0"/>
                      <w:marTop w:val="0"/>
                      <w:marBottom w:val="0"/>
                      <w:divBdr>
                        <w:top w:val="none" w:sz="0" w:space="0" w:color="auto"/>
                        <w:left w:val="none" w:sz="0" w:space="0" w:color="auto"/>
                        <w:bottom w:val="none" w:sz="0" w:space="0" w:color="auto"/>
                        <w:right w:val="none" w:sz="0" w:space="0" w:color="auto"/>
                      </w:divBdr>
                      <w:divsChild>
                        <w:div w:id="598568480">
                          <w:marLeft w:val="0"/>
                          <w:marRight w:val="0"/>
                          <w:marTop w:val="0"/>
                          <w:marBottom w:val="0"/>
                          <w:divBdr>
                            <w:top w:val="none" w:sz="0" w:space="0" w:color="auto"/>
                            <w:left w:val="none" w:sz="0" w:space="0" w:color="auto"/>
                            <w:bottom w:val="none" w:sz="0" w:space="0" w:color="auto"/>
                            <w:right w:val="none" w:sz="0" w:space="0" w:color="auto"/>
                          </w:divBdr>
                          <w:divsChild>
                            <w:div w:id="1733844249">
                              <w:marLeft w:val="0"/>
                              <w:marRight w:val="0"/>
                              <w:marTop w:val="0"/>
                              <w:marBottom w:val="0"/>
                              <w:divBdr>
                                <w:top w:val="none" w:sz="0" w:space="0" w:color="auto"/>
                                <w:left w:val="none" w:sz="0" w:space="0" w:color="auto"/>
                                <w:bottom w:val="none" w:sz="0" w:space="0" w:color="auto"/>
                                <w:right w:val="none" w:sz="0" w:space="0" w:color="auto"/>
                              </w:divBdr>
                              <w:divsChild>
                                <w:div w:id="890968449">
                                  <w:marLeft w:val="0"/>
                                  <w:marRight w:val="0"/>
                                  <w:marTop w:val="0"/>
                                  <w:marBottom w:val="0"/>
                                  <w:divBdr>
                                    <w:top w:val="none" w:sz="0" w:space="0" w:color="auto"/>
                                    <w:left w:val="none" w:sz="0" w:space="0" w:color="auto"/>
                                    <w:bottom w:val="none" w:sz="0" w:space="0" w:color="auto"/>
                                    <w:right w:val="none" w:sz="0" w:space="0" w:color="auto"/>
                                  </w:divBdr>
                                  <w:divsChild>
                                    <w:div w:id="635180011">
                                      <w:marLeft w:val="0"/>
                                      <w:marRight w:val="0"/>
                                      <w:marTop w:val="0"/>
                                      <w:marBottom w:val="0"/>
                                      <w:divBdr>
                                        <w:top w:val="none" w:sz="0" w:space="0" w:color="auto"/>
                                        <w:left w:val="none" w:sz="0" w:space="0" w:color="auto"/>
                                        <w:bottom w:val="none" w:sz="0" w:space="0" w:color="auto"/>
                                        <w:right w:val="none" w:sz="0" w:space="0" w:color="auto"/>
                                      </w:divBdr>
                                      <w:divsChild>
                                        <w:div w:id="1163736139">
                                          <w:marLeft w:val="0"/>
                                          <w:marRight w:val="0"/>
                                          <w:marTop w:val="0"/>
                                          <w:marBottom w:val="330"/>
                                          <w:divBdr>
                                            <w:top w:val="none" w:sz="0" w:space="0" w:color="auto"/>
                                            <w:left w:val="none" w:sz="0" w:space="0" w:color="auto"/>
                                            <w:bottom w:val="none" w:sz="0" w:space="0" w:color="auto"/>
                                            <w:right w:val="none" w:sz="0" w:space="0" w:color="auto"/>
                                          </w:divBdr>
                                          <w:divsChild>
                                            <w:div w:id="81240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5182637">
      <w:bodyDiv w:val="1"/>
      <w:marLeft w:val="0"/>
      <w:marRight w:val="0"/>
      <w:marTop w:val="0"/>
      <w:marBottom w:val="0"/>
      <w:divBdr>
        <w:top w:val="none" w:sz="0" w:space="0" w:color="auto"/>
        <w:left w:val="none" w:sz="0" w:space="0" w:color="auto"/>
        <w:bottom w:val="none" w:sz="0" w:space="0" w:color="auto"/>
        <w:right w:val="none" w:sz="0" w:space="0" w:color="auto"/>
      </w:divBdr>
      <w:divsChild>
        <w:div w:id="1113666308">
          <w:marLeft w:val="0"/>
          <w:marRight w:val="0"/>
          <w:marTop w:val="0"/>
          <w:marBottom w:val="0"/>
          <w:divBdr>
            <w:top w:val="none" w:sz="0" w:space="0" w:color="auto"/>
            <w:left w:val="none" w:sz="0" w:space="0" w:color="auto"/>
            <w:bottom w:val="none" w:sz="0" w:space="0" w:color="auto"/>
            <w:right w:val="none" w:sz="0" w:space="0" w:color="auto"/>
          </w:divBdr>
          <w:divsChild>
            <w:div w:id="531844854">
              <w:marLeft w:val="0"/>
              <w:marRight w:val="0"/>
              <w:marTop w:val="0"/>
              <w:marBottom w:val="0"/>
              <w:divBdr>
                <w:top w:val="none" w:sz="0" w:space="0" w:color="auto"/>
                <w:left w:val="none" w:sz="0" w:space="0" w:color="auto"/>
                <w:bottom w:val="none" w:sz="0" w:space="0" w:color="auto"/>
                <w:right w:val="none" w:sz="0" w:space="0" w:color="auto"/>
              </w:divBdr>
              <w:divsChild>
                <w:div w:id="969361721">
                  <w:marLeft w:val="0"/>
                  <w:marRight w:val="0"/>
                  <w:marTop w:val="0"/>
                  <w:marBottom w:val="0"/>
                  <w:divBdr>
                    <w:top w:val="none" w:sz="0" w:space="0" w:color="auto"/>
                    <w:left w:val="none" w:sz="0" w:space="0" w:color="auto"/>
                    <w:bottom w:val="none" w:sz="0" w:space="0" w:color="auto"/>
                    <w:right w:val="none" w:sz="0" w:space="0" w:color="auto"/>
                  </w:divBdr>
                  <w:divsChild>
                    <w:div w:id="2038001917">
                      <w:marLeft w:val="0"/>
                      <w:marRight w:val="0"/>
                      <w:marTop w:val="0"/>
                      <w:marBottom w:val="0"/>
                      <w:divBdr>
                        <w:top w:val="none" w:sz="0" w:space="0" w:color="auto"/>
                        <w:left w:val="none" w:sz="0" w:space="0" w:color="auto"/>
                        <w:bottom w:val="none" w:sz="0" w:space="0" w:color="auto"/>
                        <w:right w:val="none" w:sz="0" w:space="0" w:color="auto"/>
                      </w:divBdr>
                      <w:divsChild>
                        <w:div w:id="675348970">
                          <w:marLeft w:val="0"/>
                          <w:marRight w:val="0"/>
                          <w:marTop w:val="0"/>
                          <w:marBottom w:val="0"/>
                          <w:divBdr>
                            <w:top w:val="none" w:sz="0" w:space="0" w:color="auto"/>
                            <w:left w:val="none" w:sz="0" w:space="0" w:color="auto"/>
                            <w:bottom w:val="none" w:sz="0" w:space="0" w:color="auto"/>
                            <w:right w:val="none" w:sz="0" w:space="0" w:color="auto"/>
                          </w:divBdr>
                          <w:divsChild>
                            <w:div w:id="1751462499">
                              <w:marLeft w:val="0"/>
                              <w:marRight w:val="0"/>
                              <w:marTop w:val="0"/>
                              <w:marBottom w:val="0"/>
                              <w:divBdr>
                                <w:top w:val="none" w:sz="0" w:space="0" w:color="auto"/>
                                <w:left w:val="none" w:sz="0" w:space="0" w:color="auto"/>
                                <w:bottom w:val="none" w:sz="0" w:space="0" w:color="auto"/>
                                <w:right w:val="none" w:sz="0" w:space="0" w:color="auto"/>
                              </w:divBdr>
                              <w:divsChild>
                                <w:div w:id="359360425">
                                  <w:marLeft w:val="0"/>
                                  <w:marRight w:val="0"/>
                                  <w:marTop w:val="0"/>
                                  <w:marBottom w:val="0"/>
                                  <w:divBdr>
                                    <w:top w:val="none" w:sz="0" w:space="0" w:color="auto"/>
                                    <w:left w:val="none" w:sz="0" w:space="0" w:color="auto"/>
                                    <w:bottom w:val="none" w:sz="0" w:space="0" w:color="auto"/>
                                    <w:right w:val="none" w:sz="0" w:space="0" w:color="auto"/>
                                  </w:divBdr>
                                  <w:divsChild>
                                    <w:div w:id="1575235594">
                                      <w:marLeft w:val="0"/>
                                      <w:marRight w:val="0"/>
                                      <w:marTop w:val="0"/>
                                      <w:marBottom w:val="0"/>
                                      <w:divBdr>
                                        <w:top w:val="none" w:sz="0" w:space="0" w:color="auto"/>
                                        <w:left w:val="none" w:sz="0" w:space="0" w:color="auto"/>
                                        <w:bottom w:val="none" w:sz="0" w:space="0" w:color="auto"/>
                                        <w:right w:val="none" w:sz="0" w:space="0" w:color="auto"/>
                                      </w:divBdr>
                                      <w:divsChild>
                                        <w:div w:id="1731611165">
                                          <w:marLeft w:val="0"/>
                                          <w:marRight w:val="0"/>
                                          <w:marTop w:val="0"/>
                                          <w:marBottom w:val="330"/>
                                          <w:divBdr>
                                            <w:top w:val="none" w:sz="0" w:space="0" w:color="auto"/>
                                            <w:left w:val="none" w:sz="0" w:space="0" w:color="auto"/>
                                            <w:bottom w:val="none" w:sz="0" w:space="0" w:color="auto"/>
                                            <w:right w:val="none" w:sz="0" w:space="0" w:color="auto"/>
                                          </w:divBdr>
                                          <w:divsChild>
                                            <w:div w:id="11383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2787544">
      <w:bodyDiv w:val="1"/>
      <w:marLeft w:val="0"/>
      <w:marRight w:val="0"/>
      <w:marTop w:val="0"/>
      <w:marBottom w:val="0"/>
      <w:divBdr>
        <w:top w:val="none" w:sz="0" w:space="0" w:color="auto"/>
        <w:left w:val="none" w:sz="0" w:space="0" w:color="auto"/>
        <w:bottom w:val="none" w:sz="0" w:space="0" w:color="auto"/>
        <w:right w:val="none" w:sz="0" w:space="0" w:color="auto"/>
      </w:divBdr>
      <w:divsChild>
        <w:div w:id="1012486258">
          <w:marLeft w:val="0"/>
          <w:marRight w:val="0"/>
          <w:marTop w:val="0"/>
          <w:marBottom w:val="0"/>
          <w:divBdr>
            <w:top w:val="none" w:sz="0" w:space="0" w:color="auto"/>
            <w:left w:val="none" w:sz="0" w:space="0" w:color="auto"/>
            <w:bottom w:val="none" w:sz="0" w:space="0" w:color="auto"/>
            <w:right w:val="none" w:sz="0" w:space="0" w:color="auto"/>
          </w:divBdr>
          <w:divsChild>
            <w:div w:id="1952128320">
              <w:marLeft w:val="0"/>
              <w:marRight w:val="0"/>
              <w:marTop w:val="0"/>
              <w:marBottom w:val="0"/>
              <w:divBdr>
                <w:top w:val="none" w:sz="0" w:space="0" w:color="auto"/>
                <w:left w:val="none" w:sz="0" w:space="0" w:color="auto"/>
                <w:bottom w:val="none" w:sz="0" w:space="0" w:color="auto"/>
                <w:right w:val="none" w:sz="0" w:space="0" w:color="auto"/>
              </w:divBdr>
              <w:divsChild>
                <w:div w:id="1057706600">
                  <w:marLeft w:val="0"/>
                  <w:marRight w:val="0"/>
                  <w:marTop w:val="0"/>
                  <w:marBottom w:val="0"/>
                  <w:divBdr>
                    <w:top w:val="none" w:sz="0" w:space="0" w:color="auto"/>
                    <w:left w:val="none" w:sz="0" w:space="0" w:color="auto"/>
                    <w:bottom w:val="none" w:sz="0" w:space="0" w:color="auto"/>
                    <w:right w:val="none" w:sz="0" w:space="0" w:color="auto"/>
                  </w:divBdr>
                  <w:divsChild>
                    <w:div w:id="795025765">
                      <w:marLeft w:val="0"/>
                      <w:marRight w:val="0"/>
                      <w:marTop w:val="0"/>
                      <w:marBottom w:val="0"/>
                      <w:divBdr>
                        <w:top w:val="none" w:sz="0" w:space="0" w:color="auto"/>
                        <w:left w:val="none" w:sz="0" w:space="0" w:color="auto"/>
                        <w:bottom w:val="none" w:sz="0" w:space="0" w:color="auto"/>
                        <w:right w:val="none" w:sz="0" w:space="0" w:color="auto"/>
                      </w:divBdr>
                      <w:divsChild>
                        <w:div w:id="127826250">
                          <w:marLeft w:val="0"/>
                          <w:marRight w:val="0"/>
                          <w:marTop w:val="0"/>
                          <w:marBottom w:val="0"/>
                          <w:divBdr>
                            <w:top w:val="none" w:sz="0" w:space="0" w:color="auto"/>
                            <w:left w:val="none" w:sz="0" w:space="0" w:color="auto"/>
                            <w:bottom w:val="none" w:sz="0" w:space="0" w:color="auto"/>
                            <w:right w:val="none" w:sz="0" w:space="0" w:color="auto"/>
                          </w:divBdr>
                          <w:divsChild>
                            <w:div w:id="761100236">
                              <w:marLeft w:val="0"/>
                              <w:marRight w:val="0"/>
                              <w:marTop w:val="0"/>
                              <w:marBottom w:val="0"/>
                              <w:divBdr>
                                <w:top w:val="none" w:sz="0" w:space="0" w:color="auto"/>
                                <w:left w:val="none" w:sz="0" w:space="0" w:color="auto"/>
                                <w:bottom w:val="none" w:sz="0" w:space="0" w:color="auto"/>
                                <w:right w:val="none" w:sz="0" w:space="0" w:color="auto"/>
                              </w:divBdr>
                              <w:divsChild>
                                <w:div w:id="1818303037">
                                  <w:marLeft w:val="0"/>
                                  <w:marRight w:val="0"/>
                                  <w:marTop w:val="0"/>
                                  <w:marBottom w:val="0"/>
                                  <w:divBdr>
                                    <w:top w:val="none" w:sz="0" w:space="0" w:color="auto"/>
                                    <w:left w:val="none" w:sz="0" w:space="0" w:color="auto"/>
                                    <w:bottom w:val="none" w:sz="0" w:space="0" w:color="auto"/>
                                    <w:right w:val="none" w:sz="0" w:space="0" w:color="auto"/>
                                  </w:divBdr>
                                  <w:divsChild>
                                    <w:div w:id="2055735763">
                                      <w:marLeft w:val="0"/>
                                      <w:marRight w:val="0"/>
                                      <w:marTop w:val="0"/>
                                      <w:marBottom w:val="0"/>
                                      <w:divBdr>
                                        <w:top w:val="none" w:sz="0" w:space="0" w:color="auto"/>
                                        <w:left w:val="none" w:sz="0" w:space="0" w:color="auto"/>
                                        <w:bottom w:val="none" w:sz="0" w:space="0" w:color="auto"/>
                                        <w:right w:val="none" w:sz="0" w:space="0" w:color="auto"/>
                                      </w:divBdr>
                                      <w:divsChild>
                                        <w:div w:id="479661420">
                                          <w:marLeft w:val="0"/>
                                          <w:marRight w:val="0"/>
                                          <w:marTop w:val="0"/>
                                          <w:marBottom w:val="330"/>
                                          <w:divBdr>
                                            <w:top w:val="none" w:sz="0" w:space="0" w:color="auto"/>
                                            <w:left w:val="none" w:sz="0" w:space="0" w:color="auto"/>
                                            <w:bottom w:val="none" w:sz="0" w:space="0" w:color="auto"/>
                                            <w:right w:val="none" w:sz="0" w:space="0" w:color="auto"/>
                                          </w:divBdr>
                                          <w:divsChild>
                                            <w:div w:id="31275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8986273">
      <w:bodyDiv w:val="1"/>
      <w:marLeft w:val="0"/>
      <w:marRight w:val="0"/>
      <w:marTop w:val="0"/>
      <w:marBottom w:val="0"/>
      <w:divBdr>
        <w:top w:val="none" w:sz="0" w:space="0" w:color="auto"/>
        <w:left w:val="none" w:sz="0" w:space="0" w:color="auto"/>
        <w:bottom w:val="none" w:sz="0" w:space="0" w:color="auto"/>
        <w:right w:val="none" w:sz="0" w:space="0" w:color="auto"/>
      </w:divBdr>
      <w:divsChild>
        <w:div w:id="1284771400">
          <w:marLeft w:val="0"/>
          <w:marRight w:val="0"/>
          <w:marTop w:val="0"/>
          <w:marBottom w:val="0"/>
          <w:divBdr>
            <w:top w:val="none" w:sz="0" w:space="0" w:color="auto"/>
            <w:left w:val="none" w:sz="0" w:space="0" w:color="auto"/>
            <w:bottom w:val="none" w:sz="0" w:space="0" w:color="auto"/>
            <w:right w:val="none" w:sz="0" w:space="0" w:color="auto"/>
          </w:divBdr>
          <w:divsChild>
            <w:div w:id="1100836410">
              <w:marLeft w:val="0"/>
              <w:marRight w:val="0"/>
              <w:marTop w:val="0"/>
              <w:marBottom w:val="0"/>
              <w:divBdr>
                <w:top w:val="none" w:sz="0" w:space="0" w:color="auto"/>
                <w:left w:val="none" w:sz="0" w:space="0" w:color="auto"/>
                <w:bottom w:val="none" w:sz="0" w:space="0" w:color="auto"/>
                <w:right w:val="none" w:sz="0" w:space="0" w:color="auto"/>
              </w:divBdr>
              <w:divsChild>
                <w:div w:id="1752316487">
                  <w:marLeft w:val="0"/>
                  <w:marRight w:val="0"/>
                  <w:marTop w:val="0"/>
                  <w:marBottom w:val="0"/>
                  <w:divBdr>
                    <w:top w:val="none" w:sz="0" w:space="0" w:color="auto"/>
                    <w:left w:val="none" w:sz="0" w:space="0" w:color="auto"/>
                    <w:bottom w:val="none" w:sz="0" w:space="0" w:color="auto"/>
                    <w:right w:val="none" w:sz="0" w:space="0" w:color="auto"/>
                  </w:divBdr>
                  <w:divsChild>
                    <w:div w:id="1618171869">
                      <w:marLeft w:val="0"/>
                      <w:marRight w:val="0"/>
                      <w:marTop w:val="0"/>
                      <w:marBottom w:val="0"/>
                      <w:divBdr>
                        <w:top w:val="none" w:sz="0" w:space="0" w:color="auto"/>
                        <w:left w:val="none" w:sz="0" w:space="0" w:color="auto"/>
                        <w:bottom w:val="none" w:sz="0" w:space="0" w:color="auto"/>
                        <w:right w:val="none" w:sz="0" w:space="0" w:color="auto"/>
                      </w:divBdr>
                      <w:divsChild>
                        <w:div w:id="556552393">
                          <w:marLeft w:val="0"/>
                          <w:marRight w:val="0"/>
                          <w:marTop w:val="0"/>
                          <w:marBottom w:val="0"/>
                          <w:divBdr>
                            <w:top w:val="none" w:sz="0" w:space="0" w:color="auto"/>
                            <w:left w:val="none" w:sz="0" w:space="0" w:color="auto"/>
                            <w:bottom w:val="none" w:sz="0" w:space="0" w:color="auto"/>
                            <w:right w:val="none" w:sz="0" w:space="0" w:color="auto"/>
                          </w:divBdr>
                          <w:divsChild>
                            <w:div w:id="1149324317">
                              <w:marLeft w:val="0"/>
                              <w:marRight w:val="0"/>
                              <w:marTop w:val="0"/>
                              <w:marBottom w:val="0"/>
                              <w:divBdr>
                                <w:top w:val="none" w:sz="0" w:space="0" w:color="auto"/>
                                <w:left w:val="none" w:sz="0" w:space="0" w:color="auto"/>
                                <w:bottom w:val="none" w:sz="0" w:space="0" w:color="auto"/>
                                <w:right w:val="none" w:sz="0" w:space="0" w:color="auto"/>
                              </w:divBdr>
                              <w:divsChild>
                                <w:div w:id="249507274">
                                  <w:marLeft w:val="0"/>
                                  <w:marRight w:val="0"/>
                                  <w:marTop w:val="0"/>
                                  <w:marBottom w:val="0"/>
                                  <w:divBdr>
                                    <w:top w:val="none" w:sz="0" w:space="0" w:color="auto"/>
                                    <w:left w:val="none" w:sz="0" w:space="0" w:color="auto"/>
                                    <w:bottom w:val="none" w:sz="0" w:space="0" w:color="auto"/>
                                    <w:right w:val="none" w:sz="0" w:space="0" w:color="auto"/>
                                  </w:divBdr>
                                  <w:divsChild>
                                    <w:div w:id="1391032209">
                                      <w:marLeft w:val="0"/>
                                      <w:marRight w:val="0"/>
                                      <w:marTop w:val="0"/>
                                      <w:marBottom w:val="0"/>
                                      <w:divBdr>
                                        <w:top w:val="none" w:sz="0" w:space="0" w:color="auto"/>
                                        <w:left w:val="none" w:sz="0" w:space="0" w:color="auto"/>
                                        <w:bottom w:val="none" w:sz="0" w:space="0" w:color="auto"/>
                                        <w:right w:val="none" w:sz="0" w:space="0" w:color="auto"/>
                                      </w:divBdr>
                                      <w:divsChild>
                                        <w:div w:id="1715695683">
                                          <w:marLeft w:val="0"/>
                                          <w:marRight w:val="0"/>
                                          <w:marTop w:val="0"/>
                                          <w:marBottom w:val="330"/>
                                          <w:divBdr>
                                            <w:top w:val="none" w:sz="0" w:space="0" w:color="auto"/>
                                            <w:left w:val="none" w:sz="0" w:space="0" w:color="auto"/>
                                            <w:bottom w:val="none" w:sz="0" w:space="0" w:color="auto"/>
                                            <w:right w:val="none" w:sz="0" w:space="0" w:color="auto"/>
                                          </w:divBdr>
                                          <w:divsChild>
                                            <w:div w:id="171739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3625677">
      <w:marLeft w:val="0"/>
      <w:marRight w:val="0"/>
      <w:marTop w:val="0"/>
      <w:marBottom w:val="0"/>
      <w:divBdr>
        <w:top w:val="none" w:sz="0" w:space="0" w:color="auto"/>
        <w:left w:val="none" w:sz="0" w:space="0" w:color="auto"/>
        <w:bottom w:val="none" w:sz="0" w:space="0" w:color="auto"/>
        <w:right w:val="none" w:sz="0" w:space="0" w:color="auto"/>
      </w:divBdr>
    </w:div>
    <w:div w:id="2040936651">
      <w:bodyDiv w:val="1"/>
      <w:marLeft w:val="0"/>
      <w:marRight w:val="0"/>
      <w:marTop w:val="0"/>
      <w:marBottom w:val="0"/>
      <w:divBdr>
        <w:top w:val="none" w:sz="0" w:space="0" w:color="auto"/>
        <w:left w:val="none" w:sz="0" w:space="0" w:color="auto"/>
        <w:bottom w:val="none" w:sz="0" w:space="0" w:color="auto"/>
        <w:right w:val="none" w:sz="0" w:space="0" w:color="auto"/>
      </w:divBdr>
      <w:divsChild>
        <w:div w:id="1188719300">
          <w:marLeft w:val="0"/>
          <w:marRight w:val="0"/>
          <w:marTop w:val="0"/>
          <w:marBottom w:val="0"/>
          <w:divBdr>
            <w:top w:val="none" w:sz="0" w:space="0" w:color="auto"/>
            <w:left w:val="none" w:sz="0" w:space="0" w:color="auto"/>
            <w:bottom w:val="none" w:sz="0" w:space="0" w:color="auto"/>
            <w:right w:val="none" w:sz="0" w:space="0" w:color="auto"/>
          </w:divBdr>
          <w:divsChild>
            <w:div w:id="1202786781">
              <w:marLeft w:val="0"/>
              <w:marRight w:val="0"/>
              <w:marTop w:val="0"/>
              <w:marBottom w:val="0"/>
              <w:divBdr>
                <w:top w:val="none" w:sz="0" w:space="0" w:color="auto"/>
                <w:left w:val="none" w:sz="0" w:space="0" w:color="auto"/>
                <w:bottom w:val="none" w:sz="0" w:space="0" w:color="auto"/>
                <w:right w:val="none" w:sz="0" w:space="0" w:color="auto"/>
              </w:divBdr>
              <w:divsChild>
                <w:div w:id="235674988">
                  <w:marLeft w:val="0"/>
                  <w:marRight w:val="0"/>
                  <w:marTop w:val="0"/>
                  <w:marBottom w:val="0"/>
                  <w:divBdr>
                    <w:top w:val="none" w:sz="0" w:space="0" w:color="auto"/>
                    <w:left w:val="none" w:sz="0" w:space="0" w:color="auto"/>
                    <w:bottom w:val="none" w:sz="0" w:space="0" w:color="auto"/>
                    <w:right w:val="none" w:sz="0" w:space="0" w:color="auto"/>
                  </w:divBdr>
                  <w:divsChild>
                    <w:div w:id="825171190">
                      <w:marLeft w:val="0"/>
                      <w:marRight w:val="0"/>
                      <w:marTop w:val="0"/>
                      <w:marBottom w:val="0"/>
                      <w:divBdr>
                        <w:top w:val="none" w:sz="0" w:space="0" w:color="auto"/>
                        <w:left w:val="none" w:sz="0" w:space="0" w:color="auto"/>
                        <w:bottom w:val="none" w:sz="0" w:space="0" w:color="auto"/>
                        <w:right w:val="none" w:sz="0" w:space="0" w:color="auto"/>
                      </w:divBdr>
                      <w:divsChild>
                        <w:div w:id="1916747208">
                          <w:marLeft w:val="0"/>
                          <w:marRight w:val="0"/>
                          <w:marTop w:val="0"/>
                          <w:marBottom w:val="0"/>
                          <w:divBdr>
                            <w:top w:val="none" w:sz="0" w:space="0" w:color="auto"/>
                            <w:left w:val="none" w:sz="0" w:space="0" w:color="auto"/>
                            <w:bottom w:val="none" w:sz="0" w:space="0" w:color="auto"/>
                            <w:right w:val="none" w:sz="0" w:space="0" w:color="auto"/>
                          </w:divBdr>
                          <w:divsChild>
                            <w:div w:id="808518132">
                              <w:marLeft w:val="0"/>
                              <w:marRight w:val="0"/>
                              <w:marTop w:val="0"/>
                              <w:marBottom w:val="0"/>
                              <w:divBdr>
                                <w:top w:val="none" w:sz="0" w:space="0" w:color="auto"/>
                                <w:left w:val="none" w:sz="0" w:space="0" w:color="auto"/>
                                <w:bottom w:val="none" w:sz="0" w:space="0" w:color="auto"/>
                                <w:right w:val="none" w:sz="0" w:space="0" w:color="auto"/>
                              </w:divBdr>
                              <w:divsChild>
                                <w:div w:id="1145121079">
                                  <w:marLeft w:val="0"/>
                                  <w:marRight w:val="0"/>
                                  <w:marTop w:val="0"/>
                                  <w:marBottom w:val="0"/>
                                  <w:divBdr>
                                    <w:top w:val="none" w:sz="0" w:space="0" w:color="auto"/>
                                    <w:left w:val="none" w:sz="0" w:space="0" w:color="auto"/>
                                    <w:bottom w:val="none" w:sz="0" w:space="0" w:color="auto"/>
                                    <w:right w:val="none" w:sz="0" w:space="0" w:color="auto"/>
                                  </w:divBdr>
                                  <w:divsChild>
                                    <w:div w:id="1760171758">
                                      <w:marLeft w:val="0"/>
                                      <w:marRight w:val="0"/>
                                      <w:marTop w:val="0"/>
                                      <w:marBottom w:val="0"/>
                                      <w:divBdr>
                                        <w:top w:val="none" w:sz="0" w:space="0" w:color="auto"/>
                                        <w:left w:val="none" w:sz="0" w:space="0" w:color="auto"/>
                                        <w:bottom w:val="none" w:sz="0" w:space="0" w:color="auto"/>
                                        <w:right w:val="none" w:sz="0" w:space="0" w:color="auto"/>
                                      </w:divBdr>
                                      <w:divsChild>
                                        <w:div w:id="981933257">
                                          <w:marLeft w:val="0"/>
                                          <w:marRight w:val="0"/>
                                          <w:marTop w:val="0"/>
                                          <w:marBottom w:val="330"/>
                                          <w:divBdr>
                                            <w:top w:val="none" w:sz="0" w:space="0" w:color="auto"/>
                                            <w:left w:val="none" w:sz="0" w:space="0" w:color="auto"/>
                                            <w:bottom w:val="none" w:sz="0" w:space="0" w:color="auto"/>
                                            <w:right w:val="none" w:sz="0" w:space="0" w:color="auto"/>
                                          </w:divBdr>
                                          <w:divsChild>
                                            <w:div w:id="164989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chart" Target="charts/chart4.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5.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7.xm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chart" Target="charts/chart6.xml"/><Relationship Id="rId27" Type="http://schemas.openxmlformats.org/officeDocument/2006/relationships/chart" Target="charts/chart10.xml"/><Relationship Id="rId30" Type="http://schemas.openxmlformats.org/officeDocument/2006/relationships/footer" Target="footer2.xml"/><Relationship Id="rId35"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275554814347243"/>
          <c:y val="5.1639626442044013E-2"/>
          <c:w val="0.86239555910276733"/>
          <c:h val="0.6596866467866529"/>
        </c:manualLayout>
      </c:layout>
      <c:barChart>
        <c:barDir val="col"/>
        <c:grouping val="clustered"/>
        <c:ser>
          <c:idx val="0"/>
          <c:order val="0"/>
          <c:tx>
            <c:strRef>
              <c:f>ورقة1!$A$2</c:f>
              <c:strCache>
                <c:ptCount val="1"/>
                <c:pt idx="0">
                  <c:v>Male</c:v>
                </c:pt>
              </c:strCache>
            </c:strRef>
          </c:tx>
          <c:dLbls>
            <c:dLbl>
              <c:idx val="0"/>
              <c:layout>
                <c:manualLayout>
                  <c:x val="-6.276817515813703E-3"/>
                  <c:y val="4.3809178664381755E-2"/>
                </c:manualLayout>
              </c:layout>
              <c:dLblPos val="outEnd"/>
              <c:showVal val="1"/>
            </c:dLbl>
            <c:dLbl>
              <c:idx val="1"/>
              <c:layout>
                <c:manualLayout>
                  <c:x val="0"/>
                  <c:y val="1.4272724277666307E-2"/>
                </c:manualLayout>
              </c:layout>
              <c:dLblPos val="outEnd"/>
              <c:showVal val="1"/>
            </c:dLbl>
            <c:dLbl>
              <c:idx val="2"/>
              <c:layout>
                <c:manualLayout>
                  <c:x val="-3.1384674542160652E-3"/>
                  <c:y val="4.6761593929684028E-2"/>
                </c:manualLayout>
              </c:layout>
              <c:dLblPos val="outEnd"/>
              <c:showVal val="1"/>
            </c:dLbl>
            <c:dLbl>
              <c:idx val="3"/>
              <c:layout>
                <c:manualLayout>
                  <c:x val="-3.1384087579068368E-3"/>
                  <c:y val="1.5257140974532991E-2"/>
                </c:manualLayout>
              </c:layout>
              <c:dLblPos val="outEnd"/>
              <c:showVal val="1"/>
            </c:dLbl>
            <c:dLbl>
              <c:idx val="4"/>
              <c:layout>
                <c:manualLayout>
                  <c:x val="-1.1269014973733427E-4"/>
                  <c:y val="2.3625341811353572E-2"/>
                </c:manualLayout>
              </c:layout>
              <c:tx>
                <c:rich>
                  <a:bodyPr/>
                  <a:lstStyle/>
                  <a:p>
                    <a:r>
                      <a:rPr lang="en-US"/>
                      <a:t>6.0</a:t>
                    </a:r>
                  </a:p>
                </c:rich>
              </c:tx>
              <c:dLblPos val="outEnd"/>
              <c:showVal val="1"/>
            </c:dLbl>
            <c:dLbl>
              <c:idx val="5"/>
              <c:layout>
                <c:manualLayout>
                  <c:x val="-3.1322893686763736E-3"/>
                  <c:y val="4.6761593929684028E-2"/>
                </c:manualLayout>
              </c:layout>
              <c:dLblPos val="outEnd"/>
              <c:showVal val="1"/>
            </c:dLbl>
            <c:dLbl>
              <c:idx val="6"/>
              <c:layout>
                <c:manualLayout>
                  <c:x val="-1.2322536838719741E-2"/>
                  <c:y val="1.3288307580799259E-2"/>
                </c:manualLayout>
              </c:layout>
              <c:dLblPos val="outEnd"/>
              <c:showVal val="1"/>
            </c:dLbl>
            <c:txPr>
              <a:bodyPr/>
              <a:lstStyle/>
              <a:p>
                <a:pPr>
                  <a:defRPr sz="700">
                    <a:latin typeface="Arial" pitchFamily="34" charset="0"/>
                    <a:cs typeface="Arial" pitchFamily="34" charset="0"/>
                  </a:defRPr>
                </a:pPr>
                <a:endParaRPr lang="ar-SA"/>
              </a:p>
            </c:txPr>
            <c:dLblPos val="outEnd"/>
            <c:showVal val="1"/>
          </c:dLbls>
          <c:cat>
            <c:strRef>
              <c:f>ورقة1!$B$1:$H$1</c:f>
              <c:strCache>
                <c:ptCount val="7"/>
                <c:pt idx="0">
                  <c:v>0-17</c:v>
                </c:pt>
                <c:pt idx="1">
                  <c:v>18-34</c:v>
                </c:pt>
                <c:pt idx="2">
                  <c:v>35-44</c:v>
                </c:pt>
                <c:pt idx="3">
                  <c:v>45-54</c:v>
                </c:pt>
                <c:pt idx="4">
                  <c:v>55-64</c:v>
                </c:pt>
                <c:pt idx="5">
                  <c:v>65-74</c:v>
                </c:pt>
                <c:pt idx="6">
                  <c:v>75 +</c:v>
                </c:pt>
              </c:strCache>
            </c:strRef>
          </c:cat>
          <c:val>
            <c:numRef>
              <c:f>ورقة1!$B$2:$H$2</c:f>
              <c:numCache>
                <c:formatCode>0.0</c:formatCode>
                <c:ptCount val="7"/>
                <c:pt idx="0">
                  <c:v>1.1000000000000001</c:v>
                </c:pt>
                <c:pt idx="1">
                  <c:v>1.9</c:v>
                </c:pt>
                <c:pt idx="2">
                  <c:v>2.7</c:v>
                </c:pt>
                <c:pt idx="3">
                  <c:v>3.8</c:v>
                </c:pt>
                <c:pt idx="4">
                  <c:v>6</c:v>
                </c:pt>
                <c:pt idx="5">
                  <c:v>12</c:v>
                </c:pt>
                <c:pt idx="6">
                  <c:v>27.1</c:v>
                </c:pt>
              </c:numCache>
            </c:numRef>
          </c:val>
        </c:ser>
        <c:ser>
          <c:idx val="1"/>
          <c:order val="1"/>
          <c:tx>
            <c:strRef>
              <c:f>ورقة1!$A$3</c:f>
              <c:strCache>
                <c:ptCount val="1"/>
                <c:pt idx="0">
                  <c:v>Female</c:v>
                </c:pt>
              </c:strCache>
            </c:strRef>
          </c:tx>
          <c:spPr>
            <a:solidFill>
              <a:schemeClr val="accent2">
                <a:lumMod val="60000"/>
                <a:lumOff val="40000"/>
              </a:schemeClr>
            </a:solidFill>
          </c:spPr>
          <c:dLbls>
            <c:dLbl>
              <c:idx val="0"/>
              <c:layout>
                <c:manualLayout>
                  <c:x val="3.1384674542160652E-3"/>
                  <c:y val="3.7409275143747589E-2"/>
                </c:manualLayout>
              </c:layout>
              <c:showVal val="1"/>
            </c:dLbl>
            <c:dLbl>
              <c:idx val="1"/>
              <c:layout>
                <c:manualLayout>
                  <c:x val="1.5692337271080343E-2"/>
                  <c:y val="3.7409275143747589E-2"/>
                </c:manualLayout>
              </c:layout>
              <c:showVal val="1"/>
            </c:dLbl>
            <c:dLbl>
              <c:idx val="2"/>
              <c:layout>
                <c:manualLayout>
                  <c:x val="1.2553869816864604E-2"/>
                  <c:y val="3.7409275143747589E-2"/>
                </c:manualLayout>
              </c:layout>
              <c:showVal val="1"/>
            </c:dLbl>
            <c:dLbl>
              <c:idx val="3"/>
              <c:layout>
                <c:manualLayout>
                  <c:x val="9.4154023626489437E-3"/>
                  <c:y val="4.6761593929684028E-2"/>
                </c:manualLayout>
              </c:layout>
              <c:showVal val="1"/>
            </c:dLbl>
            <c:dLbl>
              <c:idx val="4"/>
              <c:layout>
                <c:manualLayout>
                  <c:x val="1.5241283190584541E-2"/>
                  <c:y val="2.2640925114486562E-2"/>
                </c:manualLayout>
              </c:layout>
              <c:showVal val="1"/>
            </c:dLbl>
            <c:dLbl>
              <c:idx val="5"/>
              <c:layout>
                <c:manualLayout>
                  <c:x val="9.6408448187548807E-3"/>
                  <c:y val="1.328896649425098E-2"/>
                </c:manualLayout>
              </c:layout>
              <c:showVal val="1"/>
            </c:dLbl>
            <c:dLbl>
              <c:idx val="6"/>
              <c:layout>
                <c:manualLayout>
                  <c:x val="1.5804972184830911E-2"/>
                  <c:y val="1.4272724277666309E-2"/>
                </c:manualLayout>
              </c:layout>
              <c:showVal val="1"/>
            </c:dLbl>
            <c:txPr>
              <a:bodyPr/>
              <a:lstStyle/>
              <a:p>
                <a:pPr>
                  <a:defRPr sz="700">
                    <a:latin typeface="Arial" pitchFamily="34" charset="0"/>
                    <a:cs typeface="Arial" pitchFamily="34" charset="0"/>
                  </a:defRPr>
                </a:pPr>
                <a:endParaRPr lang="ar-SA"/>
              </a:p>
            </c:txPr>
            <c:showVal val="1"/>
          </c:dLbls>
          <c:cat>
            <c:strRef>
              <c:f>ورقة1!$B$1:$H$1</c:f>
              <c:strCache>
                <c:ptCount val="7"/>
                <c:pt idx="0">
                  <c:v>0-17</c:v>
                </c:pt>
                <c:pt idx="1">
                  <c:v>18-34</c:v>
                </c:pt>
                <c:pt idx="2">
                  <c:v>35-44</c:v>
                </c:pt>
                <c:pt idx="3">
                  <c:v>45-54</c:v>
                </c:pt>
                <c:pt idx="4">
                  <c:v>55-64</c:v>
                </c:pt>
                <c:pt idx="5">
                  <c:v>65-74</c:v>
                </c:pt>
                <c:pt idx="6">
                  <c:v>75 +</c:v>
                </c:pt>
              </c:strCache>
            </c:strRef>
          </c:cat>
          <c:val>
            <c:numRef>
              <c:f>ورقة1!$B$3:$H$3</c:f>
              <c:numCache>
                <c:formatCode>0.0</c:formatCode>
                <c:ptCount val="7"/>
                <c:pt idx="0">
                  <c:v>0.8</c:v>
                </c:pt>
                <c:pt idx="1">
                  <c:v>0.9</c:v>
                </c:pt>
                <c:pt idx="2">
                  <c:v>1.4</c:v>
                </c:pt>
                <c:pt idx="3">
                  <c:v>2.4</c:v>
                </c:pt>
                <c:pt idx="4">
                  <c:v>5.5</c:v>
                </c:pt>
                <c:pt idx="5">
                  <c:v>13.9</c:v>
                </c:pt>
                <c:pt idx="6">
                  <c:v>30.8</c:v>
                </c:pt>
              </c:numCache>
            </c:numRef>
          </c:val>
        </c:ser>
        <c:dLbls>
          <c:showVal val="1"/>
        </c:dLbls>
        <c:axId val="96475008"/>
        <c:axId val="96546816"/>
      </c:barChart>
      <c:catAx>
        <c:axId val="96475008"/>
        <c:scaling>
          <c:orientation val="minMax"/>
        </c:scaling>
        <c:axPos val="b"/>
        <c:title>
          <c:tx>
            <c:rich>
              <a:bodyPr/>
              <a:lstStyle/>
              <a:p>
                <a:pPr>
                  <a:defRPr sz="800" b="0" i="0" u="none" strike="noStrike" baseline="0">
                    <a:solidFill>
                      <a:srgbClr val="000000"/>
                    </a:solidFill>
                    <a:latin typeface="Arial" pitchFamily="34" charset="0"/>
                    <a:ea typeface="Arial"/>
                    <a:cs typeface="Arial" pitchFamily="34" charset="0"/>
                  </a:defRPr>
                </a:pPr>
                <a:r>
                  <a:rPr lang="en-US" sz="800" b="1" i="0" u="none" strike="noStrike" baseline="0">
                    <a:solidFill>
                      <a:srgbClr val="000000"/>
                    </a:solidFill>
                    <a:latin typeface="Arial" pitchFamily="34" charset="0"/>
                    <a:cs typeface="Arial" pitchFamily="34" charset="0"/>
                  </a:rPr>
                  <a:t> Age Group</a:t>
                </a:r>
              </a:p>
            </c:rich>
          </c:tx>
          <c:layout>
            <c:manualLayout>
              <c:xMode val="edge"/>
              <c:yMode val="edge"/>
              <c:x val="0.41197761123235566"/>
              <c:y val="0.86193557015564171"/>
            </c:manualLayout>
          </c:layout>
        </c:title>
        <c:numFmt formatCode="General" sourceLinked="1"/>
        <c:tickLblPos val="nextTo"/>
        <c:txPr>
          <a:bodyPr rot="0"/>
          <a:lstStyle/>
          <a:p>
            <a:pPr rtl="0">
              <a:defRPr>
                <a:latin typeface="Arial" pitchFamily="34" charset="0"/>
                <a:cs typeface="Arial" pitchFamily="34" charset="0"/>
              </a:defRPr>
            </a:pPr>
            <a:endParaRPr lang="ar-SA"/>
          </a:p>
        </c:txPr>
        <c:crossAx val="96546816"/>
        <c:crosses val="autoZero"/>
        <c:auto val="1"/>
        <c:lblAlgn val="ctr"/>
        <c:lblOffset val="100"/>
      </c:catAx>
      <c:valAx>
        <c:axId val="96546816"/>
        <c:scaling>
          <c:orientation val="minMax"/>
        </c:scaling>
        <c:axPos val="l"/>
        <c:title>
          <c:tx>
            <c:rich>
              <a:bodyPr/>
              <a:lstStyle/>
              <a:p>
                <a:pPr>
                  <a:defRPr sz="790" b="1" i="0" u="none" strike="noStrike" baseline="0">
                    <a:solidFill>
                      <a:srgbClr val="000000"/>
                    </a:solidFill>
                    <a:latin typeface="Calibri"/>
                    <a:ea typeface="Calibri"/>
                    <a:cs typeface="Calibri"/>
                  </a:defRPr>
                </a:pPr>
                <a:r>
                  <a:rPr lang="en-GB"/>
                  <a:t>Percentage</a:t>
                </a:r>
              </a:p>
            </c:rich>
          </c:tx>
          <c:layout>
            <c:manualLayout>
              <c:xMode val="edge"/>
              <c:yMode val="edge"/>
              <c:x val="9.4862600006324505E-3"/>
              <c:y val="0.1234873029406356"/>
            </c:manualLayout>
          </c:layout>
        </c:title>
        <c:numFmt formatCode="0.0" sourceLinked="1"/>
        <c:tickLblPos val="nextTo"/>
        <c:txPr>
          <a:bodyPr/>
          <a:lstStyle/>
          <a:p>
            <a:pPr>
              <a:defRPr>
                <a:latin typeface="Arial" pitchFamily="34" charset="0"/>
                <a:cs typeface="Arial" pitchFamily="34" charset="0"/>
              </a:defRPr>
            </a:pPr>
            <a:endParaRPr lang="ar-SA"/>
          </a:p>
        </c:txPr>
        <c:crossAx val="96475008"/>
        <c:crosses val="autoZero"/>
        <c:crossBetween val="between"/>
      </c:valAx>
    </c:plotArea>
    <c:legend>
      <c:legendPos val="r"/>
      <c:layout>
        <c:manualLayout>
          <c:xMode val="edge"/>
          <c:yMode val="edge"/>
          <c:x val="0.3376762483003094"/>
          <c:y val="4.9692896668171532E-2"/>
          <c:w val="0.24644594124531238"/>
          <c:h val="0.12913586438637839"/>
        </c:manualLayout>
      </c:layout>
      <c:txPr>
        <a:bodyPr/>
        <a:lstStyle/>
        <a:p>
          <a:pPr>
            <a:defRPr sz="800">
              <a:latin typeface="Arial" pitchFamily="34" charset="0"/>
              <a:cs typeface="Arial" pitchFamily="34" charset="0"/>
            </a:defRPr>
          </a:pPr>
          <a:endParaRPr lang="ar-SA"/>
        </a:p>
      </c:txPr>
    </c:legend>
    <c:plotVisOnly val="1"/>
    <c:dispBlanksAs val="gap"/>
  </c:chart>
  <c:spPr>
    <a:ln>
      <a:noFill/>
    </a:ln>
  </c:spPr>
  <c:txPr>
    <a:bodyPr/>
    <a:lstStyle/>
    <a:p>
      <a:pPr>
        <a:defRPr sz="793">
          <a:cs typeface="+mn-cs"/>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905913918337275"/>
          <c:y val="0.15119418583315394"/>
          <c:w val="0.8667947883127296"/>
          <c:h val="0.73679694293532461"/>
        </c:manualLayout>
      </c:layout>
      <c:areaChart>
        <c:grouping val="standard"/>
        <c:ser>
          <c:idx val="0"/>
          <c:order val="0"/>
          <c:tx>
            <c:strRef>
              <c:f>Sheet1!$A$2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layout>
                <c:manualLayout>
                  <c:x val="0"/>
                  <c:y val="-0.19383525103989924"/>
                </c:manualLayout>
              </c:layout>
              <c:numFmt formatCode="#,##0.0" sourceLinked="0"/>
              <c:spPr/>
              <c:txPr>
                <a:bodyPr/>
                <a:lstStyle/>
                <a:p>
                  <a:pPr>
                    <a:defRPr/>
                  </a:pPr>
                  <a:endParaRPr lang="ar-SA"/>
                </a:p>
              </c:txPr>
              <c:showVal val="1"/>
            </c:dLbl>
            <c:showVal val="1"/>
          </c:dLbls>
          <c:cat>
            <c:numRef>
              <c:f>Sheet1!$B$1:$T$1</c:f>
              <c:numCache>
                <c:formatCode>00</c:formatCode>
                <c:ptCount val="1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numCache>
            </c:numRef>
          </c:cat>
          <c:val>
            <c:numRef>
              <c:f>Sheet1!$B$2:$T$2</c:f>
              <c:numCache>
                <c:formatCode>General</c:formatCode>
                <c:ptCount val="19"/>
                <c:pt idx="0">
                  <c:v>2382.8000000000002</c:v>
                </c:pt>
                <c:pt idx="1">
                  <c:v>2033.6</c:v>
                </c:pt>
                <c:pt idx="2">
                  <c:v>1515.6</c:v>
                </c:pt>
                <c:pt idx="3">
                  <c:v>1800.3</c:v>
                </c:pt>
                <c:pt idx="4">
                  <c:v>2373.1999999999998</c:v>
                </c:pt>
                <c:pt idx="5">
                  <c:v>2667.6</c:v>
                </c:pt>
                <c:pt idx="6">
                  <c:v>2758.7</c:v>
                </c:pt>
                <c:pt idx="7">
                  <c:v>3284</c:v>
                </c:pt>
                <c:pt idx="8">
                  <c:v>3466.2</c:v>
                </c:pt>
                <c:pt idx="9">
                  <c:v>3600.8</c:v>
                </c:pt>
                <c:pt idx="10">
                  <c:v>3958.5</c:v>
                </c:pt>
                <c:pt idx="11">
                  <c:v>4373.6000000000004</c:v>
                </c:pt>
                <c:pt idx="12">
                  <c:v>4697.4000000000005</c:v>
                </c:pt>
                <c:pt idx="13">
                  <c:v>5163.9000000000005</c:v>
                </c:pt>
                <c:pt idx="14">
                  <c:v>5683.2</c:v>
                </c:pt>
                <c:pt idx="15">
                  <c:v>5225.5</c:v>
                </c:pt>
                <c:pt idx="16" formatCode="0.0">
                  <c:v>5363.8</c:v>
                </c:pt>
                <c:pt idx="17" formatCode="#,##0.0">
                  <c:v>5853.9</c:v>
                </c:pt>
                <c:pt idx="18">
                  <c:v>6539.6</c:v>
                </c:pt>
              </c:numCache>
            </c:numRef>
          </c:val>
        </c:ser>
        <c:ser>
          <c:idx val="1"/>
          <c:order val="1"/>
          <c:tx>
            <c:strRef>
              <c:f>Sheet1!$A$3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layout>
                <c:manualLayout>
                  <c:x val="-6.8620174367285056E-3"/>
                  <c:y val="-5.4093558429739522E-2"/>
                </c:manualLayout>
              </c:layout>
              <c:showVal val="1"/>
            </c:dLbl>
            <c:numFmt formatCode="#,##0.0" sourceLinked="0"/>
            <c:showVal val="1"/>
          </c:dLbls>
          <c:cat>
            <c:numRef>
              <c:f>Sheet1!$B$1:$T$1</c:f>
              <c:numCache>
                <c:formatCode>00</c:formatCode>
                <c:ptCount val="1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numCache>
            </c:numRef>
          </c:cat>
          <c:val>
            <c:numRef>
              <c:f>Sheet1!$B$3:$T$3</c:f>
              <c:numCache>
                <c:formatCode>General</c:formatCode>
                <c:ptCount val="19"/>
                <c:pt idx="0">
                  <c:v>400.9</c:v>
                </c:pt>
                <c:pt idx="1">
                  <c:v>290.3</c:v>
                </c:pt>
                <c:pt idx="2">
                  <c:v>240.9</c:v>
                </c:pt>
                <c:pt idx="3">
                  <c:v>279.7</c:v>
                </c:pt>
                <c:pt idx="4">
                  <c:v>312.7</c:v>
                </c:pt>
                <c:pt idx="5">
                  <c:v>335.4</c:v>
                </c:pt>
                <c:pt idx="6">
                  <c:v>366.7</c:v>
                </c:pt>
                <c:pt idx="7">
                  <c:v>513</c:v>
                </c:pt>
                <c:pt idx="8">
                  <c:v>558.4</c:v>
                </c:pt>
                <c:pt idx="9">
                  <c:v>518.4</c:v>
                </c:pt>
                <c:pt idx="10">
                  <c:v>575.5</c:v>
                </c:pt>
                <c:pt idx="11">
                  <c:v>745.7</c:v>
                </c:pt>
                <c:pt idx="12">
                  <c:v>782.4</c:v>
                </c:pt>
                <c:pt idx="13">
                  <c:v>900.6</c:v>
                </c:pt>
                <c:pt idx="14">
                  <c:v>943.7</c:v>
                </c:pt>
                <c:pt idx="15">
                  <c:v>957.8</c:v>
                </c:pt>
                <c:pt idx="16" formatCode="0.0">
                  <c:v>926.5</c:v>
                </c:pt>
                <c:pt idx="17" formatCode="#,##0.0">
                  <c:v>1064.9000000000001</c:v>
                </c:pt>
                <c:pt idx="18">
                  <c:v>1155.5999999999999</c:v>
                </c:pt>
              </c:numCache>
            </c:numRef>
          </c:val>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delete val="1"/>
            </c:dLbl>
            <c:dLbl>
              <c:idx val="13"/>
              <c:delete val="1"/>
            </c:dLbl>
            <c:dLbl>
              <c:idx val="14"/>
              <c:delete val="1"/>
            </c:dLbl>
            <c:dLbl>
              <c:idx val="15"/>
              <c:delete val="1"/>
            </c:dLbl>
            <c:dLbl>
              <c:idx val="16"/>
              <c:delete val="1"/>
            </c:dLbl>
            <c:dLbl>
              <c:idx val="17"/>
              <c:delete val="1"/>
            </c:dLbl>
            <c:dLbl>
              <c:idx val="18"/>
              <c:layout>
                <c:manualLayout>
                  <c:x val="0"/>
                  <c:y val="0.19834304757571194"/>
                </c:manualLayout>
              </c:layout>
              <c:showVal val="1"/>
            </c:dLbl>
            <c:numFmt formatCode="#,##0" sourceLinked="0"/>
            <c:showVal val="1"/>
          </c:dLbls>
          <c:cat>
            <c:numRef>
              <c:f>Sheet1!$B$1:$T$1</c:f>
              <c:numCache>
                <c:formatCode>00</c:formatCode>
                <c:ptCount val="1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numCache>
            </c:numRef>
          </c:cat>
          <c:val>
            <c:numRef>
              <c:f>Sheet1!$B$4:$T$4</c:f>
              <c:numCache>
                <c:formatCode>General</c:formatCode>
                <c:ptCount val="19"/>
                <c:pt idx="0">
                  <c:v>-1981.9</c:v>
                </c:pt>
                <c:pt idx="1">
                  <c:v>-1743.3</c:v>
                </c:pt>
                <c:pt idx="2">
                  <c:v>-1274.6999999999998</c:v>
                </c:pt>
                <c:pt idx="3">
                  <c:v>-1520.6</c:v>
                </c:pt>
                <c:pt idx="4">
                  <c:v>-2060.5</c:v>
                </c:pt>
                <c:pt idx="5">
                  <c:v>-2332.1999999999998</c:v>
                </c:pt>
                <c:pt idx="6">
                  <c:v>-2392</c:v>
                </c:pt>
                <c:pt idx="7">
                  <c:v>-2771</c:v>
                </c:pt>
                <c:pt idx="8">
                  <c:v>-2907.7999999999997</c:v>
                </c:pt>
                <c:pt idx="9">
                  <c:v>-3082.4</c:v>
                </c:pt>
                <c:pt idx="10">
                  <c:v>-3383</c:v>
                </c:pt>
                <c:pt idx="11">
                  <c:v>-3627.9000000000005</c:v>
                </c:pt>
                <c:pt idx="12">
                  <c:v>-3914.9999999999995</c:v>
                </c:pt>
                <c:pt idx="13">
                  <c:v>-4263.2999999999993</c:v>
                </c:pt>
                <c:pt idx="14">
                  <c:v>-4739.5</c:v>
                </c:pt>
                <c:pt idx="15">
                  <c:v>-4267.7</c:v>
                </c:pt>
                <c:pt idx="16" formatCode="0.0">
                  <c:v>-4437.3</c:v>
                </c:pt>
                <c:pt idx="17" formatCode="#,##0.0">
                  <c:v>-4789</c:v>
                </c:pt>
                <c:pt idx="18" formatCode="0.0">
                  <c:v>-5384</c:v>
                </c:pt>
              </c:numCache>
            </c:numRef>
          </c:val>
        </c:ser>
        <c:axId val="97367552"/>
        <c:axId val="97369472"/>
      </c:areaChart>
      <c:catAx>
        <c:axId val="97367552"/>
        <c:scaling>
          <c:orientation val="minMax"/>
        </c:scaling>
        <c:axPos val="b"/>
        <c:majorGridlines>
          <c:spPr>
            <a:ln w="12693">
              <a:solidFill>
                <a:schemeClr val="bg1">
                  <a:lumMod val="95000"/>
                </a:schemeClr>
              </a:solidFill>
              <a:prstDash val="solid"/>
            </a:ln>
          </c:spPr>
        </c:majorGridlines>
        <c:title>
          <c:tx>
            <c:rich>
              <a:bodyPr/>
              <a:lstStyle/>
              <a:p>
                <a:pPr>
                  <a:defRPr b="1"/>
                </a:pPr>
                <a:r>
                  <a:rPr lang="en-US" sz="800" b="1"/>
                  <a:t>Year</a:t>
                </a:r>
              </a:p>
            </c:rich>
          </c:tx>
          <c:layout>
            <c:manualLayout>
              <c:xMode val="edge"/>
              <c:yMode val="edge"/>
              <c:x val="0.49490890896808337"/>
              <c:y val="0.92521281085619989"/>
            </c:manualLayout>
          </c:layout>
          <c:spPr>
            <a:noFill/>
            <a:ln w="25386">
              <a:noFill/>
            </a:ln>
          </c:spPr>
        </c:title>
        <c:numFmt formatCode="00" sourceLinked="1"/>
        <c:tickLblPos val="nextTo"/>
        <c:spPr>
          <a:ln w="3173">
            <a:solidFill>
              <a:srgbClr val="000000"/>
            </a:solidFill>
            <a:prstDash val="solid"/>
          </a:ln>
        </c:spPr>
        <c:txPr>
          <a:bodyPr rot="0" vert="horz"/>
          <a:lstStyle/>
          <a:p>
            <a:pPr>
              <a:defRPr/>
            </a:pPr>
            <a:endParaRPr lang="ar-SA"/>
          </a:p>
        </c:txPr>
        <c:crossAx val="97369472"/>
        <c:crosses val="autoZero"/>
        <c:auto val="1"/>
        <c:lblAlgn val="ctr"/>
        <c:lblOffset val="100"/>
        <c:tickLblSkip val="1"/>
        <c:tickMarkSkip val="1"/>
      </c:catAx>
      <c:valAx>
        <c:axId val="97369472"/>
        <c:scaling>
          <c:orientation val="minMax"/>
        </c:scaling>
        <c:axPos val="l"/>
        <c:majorGridlines>
          <c:spPr>
            <a:ln w="12693">
              <a:solidFill>
                <a:schemeClr val="bg1">
                  <a:lumMod val="95000"/>
                </a:schemeClr>
              </a:solidFill>
              <a:prstDash val="solid"/>
            </a:ln>
          </c:spPr>
        </c:majorGridlines>
        <c:title>
          <c:tx>
            <c:rich>
              <a:bodyPr/>
              <a:lstStyle/>
              <a:p>
                <a:pPr>
                  <a:defRPr b="1"/>
                </a:pPr>
                <a:r>
                  <a:rPr lang="en-US" sz="800" b="1"/>
                  <a:t>Value in Million USD</a:t>
                </a:r>
              </a:p>
            </c:rich>
          </c:tx>
          <c:layout>
            <c:manualLayout>
              <c:xMode val="edge"/>
              <c:yMode val="edge"/>
              <c:x val="1.2297276423452038E-3"/>
              <c:y val="0.24831867722709391"/>
            </c:manualLayout>
          </c:layout>
          <c:spPr>
            <a:noFill/>
            <a:ln w="25386">
              <a:noFill/>
            </a:ln>
          </c:spPr>
        </c:title>
        <c:numFmt formatCode="General" sourceLinked="1"/>
        <c:tickLblPos val="nextTo"/>
        <c:spPr>
          <a:ln w="3173">
            <a:solidFill>
              <a:srgbClr val="000000"/>
            </a:solidFill>
            <a:prstDash val="solid"/>
          </a:ln>
        </c:spPr>
        <c:txPr>
          <a:bodyPr rot="0" vert="horz"/>
          <a:lstStyle/>
          <a:p>
            <a:pPr>
              <a:defRPr/>
            </a:pPr>
            <a:endParaRPr lang="ar-SA"/>
          </a:p>
        </c:txPr>
        <c:crossAx val="97367552"/>
        <c:crosses val="autoZero"/>
        <c:crossBetween val="midCat"/>
      </c:valAx>
      <c:spPr>
        <a:noFill/>
        <a:ln w="25386">
          <a:noFill/>
        </a:ln>
      </c:spPr>
    </c:plotArea>
    <c:legend>
      <c:legendPos val="r"/>
      <c:layout>
        <c:manualLayout>
          <c:xMode val="edge"/>
          <c:yMode val="edge"/>
          <c:x val="0.12828432637832021"/>
          <c:y val="2.9759276480652616E-2"/>
          <c:w val="0.69705705902577764"/>
          <c:h val="9.446189577496418E-2"/>
        </c:manualLayout>
      </c:layout>
      <c:spPr>
        <a:noFill/>
        <a:ln w="3173">
          <a:solidFill>
            <a:srgbClr val="000000"/>
          </a:solidFill>
          <a:prstDash val="solid"/>
        </a:ln>
      </c:spPr>
    </c:legend>
    <c:plotVisOnly val="1"/>
    <c:dispBlanksAs val="zero"/>
  </c:chart>
  <c:spPr>
    <a:ln w="3173">
      <a:noFill/>
      <a:prstDash val="soli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3772706377804743E-2"/>
          <c:y val="0.13275568842155652"/>
          <c:w val="0.87545206113941643"/>
          <c:h val="0.68262154730660185"/>
        </c:manualLayout>
      </c:layout>
      <c:lineChart>
        <c:grouping val="standard"/>
        <c:ser>
          <c:idx val="0"/>
          <c:order val="0"/>
          <c:tx>
            <c:strRef>
              <c:f>Sheet1!$A$2</c:f>
              <c:strCache>
                <c:ptCount val="1"/>
                <c:pt idx="0">
                  <c:v>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5310734463276844E-2"/>
                  <c:y val="-7.0287914795550716E-2"/>
                </c:manualLayout>
              </c:layout>
              <c:showVal val="1"/>
            </c:dLbl>
            <c:dLbl>
              <c:idx val="1"/>
              <c:layout>
                <c:manualLayout>
                  <c:x val="-2.9425612052730695E-2"/>
                  <c:y val="-7.0287914795550716E-2"/>
                </c:manualLayout>
              </c:layout>
              <c:showVal val="1"/>
            </c:dLbl>
            <c:dLbl>
              <c:idx val="2"/>
              <c:layout>
                <c:manualLayout>
                  <c:x val="-2.6483050847457636E-2"/>
                  <c:y val="-5.6230331836444124E-2"/>
                </c:manualLayout>
              </c:layout>
              <c:showVal val="1"/>
            </c:dLbl>
            <c:dLbl>
              <c:idx val="3"/>
              <c:layout>
                <c:manualLayout>
                  <c:x val="-3.2368173258003792E-2"/>
                  <c:y val="-7.0287914795550729E-2"/>
                </c:manualLayout>
              </c:layout>
              <c:showVal val="1"/>
            </c:dLbl>
            <c:dLbl>
              <c:idx val="4"/>
              <c:layout>
                <c:manualLayout>
                  <c:x val="-5.0023540489642186E-2"/>
                  <c:y val="-5.6230331836442327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Sheet1!$B$2:$F$2</c:f>
              <c:numCache>
                <c:formatCode>0.0</c:formatCode>
                <c:ptCount val="5"/>
                <c:pt idx="0">
                  <c:v>51.6</c:v>
                </c:pt>
                <c:pt idx="1">
                  <c:v>61.9</c:v>
                </c:pt>
                <c:pt idx="2">
                  <c:v>79.5</c:v>
                </c:pt>
                <c:pt idx="3">
                  <c:v>82.5</c:v>
                </c:pt>
                <c:pt idx="4">
                  <c:v>88.3</c:v>
                </c:pt>
              </c:numCache>
            </c:numRef>
          </c:val>
          <c:smooth val="1"/>
        </c:ser>
        <c:ser>
          <c:idx val="1"/>
          <c:order val="1"/>
          <c:tx>
            <c:strRef>
              <c:f>Sheet1!$A$3</c:f>
              <c:strCache>
                <c:ptCount val="1"/>
                <c:pt idx="0">
                  <c:v>Time Related 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6483050847457636E-2"/>
                  <c:y val="-6.3259123315995647E-2"/>
                </c:manualLayout>
              </c:layout>
              <c:showVal val="1"/>
            </c:dLbl>
            <c:dLbl>
              <c:idx val="1"/>
              <c:layout>
                <c:manualLayout>
                  <c:x val="-3.2368173258003792E-2"/>
                  <c:y val="-4.9201540356885495E-2"/>
                </c:manualLayout>
              </c:layout>
              <c:showVal val="1"/>
            </c:dLbl>
            <c:dLbl>
              <c:idx val="2"/>
              <c:layout>
                <c:manualLayout>
                  <c:x val="-2.3540489642184328E-2"/>
                  <c:y val="-3.5143957397775392E-2"/>
                </c:manualLayout>
              </c:layout>
              <c:showVal val="1"/>
            </c:dLbl>
            <c:dLbl>
              <c:idx val="3"/>
              <c:layout>
                <c:manualLayout>
                  <c:x val="-1.4712806026365349E-2"/>
                  <c:y val="-2.8115165918220292E-2"/>
                </c:manualLayout>
              </c:layout>
              <c:showVal val="1"/>
            </c:dLbl>
            <c:dLbl>
              <c:idx val="4"/>
              <c:layout>
                <c:manualLayout>
                  <c:x val="8.8276836158194746E-3"/>
                  <c:y val="-5.6230331836442327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Sheet1!$B$3:$F$3</c:f>
              <c:numCache>
                <c:formatCode>General</c:formatCode>
                <c:ptCount val="5"/>
                <c:pt idx="0">
                  <c:v>1.7</c:v>
                </c:pt>
                <c:pt idx="1">
                  <c:v>2.1</c:v>
                </c:pt>
                <c:pt idx="2">
                  <c:v>1.1000000000000001</c:v>
                </c:pt>
                <c:pt idx="3">
                  <c:v>0.8</c:v>
                </c:pt>
                <c:pt idx="4">
                  <c:v>0.60000000000000064</c:v>
                </c:pt>
              </c:numCache>
            </c:numRef>
          </c:val>
          <c:smooth val="1"/>
        </c:ser>
        <c:ser>
          <c:idx val="2"/>
          <c:order val="2"/>
          <c:tx>
            <c:strRef>
              <c:f>Sheet1!$A$4</c:f>
              <c:strCache>
                <c:ptCount val="1"/>
                <c:pt idx="0">
                  <c:v>Unemployment </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5.0023540489642186E-2"/>
                  <c:y val="9.1374289234215839E-2"/>
                </c:manualLayout>
              </c:layout>
              <c:showVal val="1"/>
            </c:dLbl>
            <c:dLbl>
              <c:idx val="1"/>
              <c:layout>
                <c:manualLayout>
                  <c:x val="-8.5334274952919023E-2"/>
                  <c:y val="7.0287914795550716E-2"/>
                </c:manualLayout>
              </c:layout>
              <c:showVal val="1"/>
            </c:dLbl>
            <c:dLbl>
              <c:idx val="2"/>
              <c:layout>
                <c:manualLayout>
                  <c:x val="-1.1770244821092278E-2"/>
                  <c:y val="-5.6230331836444124E-2"/>
                </c:manualLayout>
              </c:layout>
              <c:showVal val="1"/>
            </c:dLbl>
            <c:dLbl>
              <c:idx val="3"/>
              <c:layout>
                <c:manualLayout>
                  <c:x val="-1.1770244821092278E-2"/>
                  <c:y val="-5.6230331836444124E-2"/>
                </c:manualLayout>
              </c:layout>
              <c:showVal val="1"/>
            </c:dLbl>
            <c:dLbl>
              <c:idx val="4"/>
              <c:layout>
                <c:manualLayout>
                  <c:x val="-5.8851224105461432E-2"/>
                  <c:y val="-6.3259123315995647E-2"/>
                </c:manualLayout>
              </c:layout>
              <c:showVal val="1"/>
            </c:dLbl>
            <c:txPr>
              <a:bodyPr/>
              <a:lstStyle/>
              <a:p>
                <a:pPr>
                  <a:defRPr sz="800"/>
                </a:pPr>
                <a:endParaRPr lang="ar-SA"/>
              </a:p>
            </c:txPr>
            <c:showVal val="1"/>
          </c:dLbls>
          <c:cat>
            <c:strRef>
              <c:f>Sheet1!$B$1:$F$1</c:f>
              <c:strCache>
                <c:ptCount val="5"/>
                <c:pt idx="0">
                  <c:v>15-24</c:v>
                </c:pt>
                <c:pt idx="1">
                  <c:v>25-34</c:v>
                </c:pt>
                <c:pt idx="2">
                  <c:v>35-44</c:v>
                </c:pt>
                <c:pt idx="3">
                  <c:v>45-54</c:v>
                </c:pt>
                <c:pt idx="4">
                  <c:v>55+</c:v>
                </c:pt>
              </c:strCache>
            </c:strRef>
          </c:cat>
          <c:val>
            <c:numRef>
              <c:f>Sheet1!$B$4:$F$4</c:f>
              <c:numCache>
                <c:formatCode>General</c:formatCode>
                <c:ptCount val="5"/>
                <c:pt idx="0">
                  <c:v>46.7</c:v>
                </c:pt>
                <c:pt idx="1">
                  <c:v>36</c:v>
                </c:pt>
                <c:pt idx="2">
                  <c:v>19.399999999999999</c:v>
                </c:pt>
                <c:pt idx="3">
                  <c:v>16.7</c:v>
                </c:pt>
                <c:pt idx="4">
                  <c:v>11.1</c:v>
                </c:pt>
              </c:numCache>
            </c:numRef>
          </c:val>
          <c:smooth val="1"/>
        </c:ser>
        <c:dLbls>
          <c:showVal val="1"/>
        </c:dLbls>
        <c:marker val="1"/>
        <c:axId val="96559104"/>
        <c:axId val="96534912"/>
      </c:lineChart>
      <c:catAx>
        <c:axId val="96559104"/>
        <c:scaling>
          <c:orientation val="minMax"/>
        </c:scaling>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915"/>
              <c:y val="0.91230158730158761"/>
            </c:manualLayout>
          </c:layout>
          <c:spPr>
            <a:noFill/>
            <a:ln w="25382">
              <a:noFill/>
            </a:ln>
          </c:spPr>
        </c:title>
        <c:numFmt formatCode="General" sourceLinked="1"/>
        <c:tickLblPos val="nextTo"/>
        <c:spPr>
          <a:ln w="3173">
            <a:solidFill>
              <a:srgbClr val="000000"/>
            </a:solidFill>
            <a:prstDash val="solid"/>
          </a:ln>
        </c:spPr>
        <c:txPr>
          <a:bodyPr rot="0" vert="horz"/>
          <a:lstStyle/>
          <a:p>
            <a:pPr rtl="0">
              <a:defRPr sz="800" b="0" i="0" u="none" strike="noStrike" baseline="0">
                <a:solidFill>
                  <a:srgbClr val="000000"/>
                </a:solidFill>
                <a:latin typeface="Arial"/>
                <a:ea typeface="Arial"/>
                <a:cs typeface="Arial"/>
              </a:defRPr>
            </a:pPr>
            <a:endParaRPr lang="ar-SA"/>
          </a:p>
        </c:txPr>
        <c:crossAx val="96534912"/>
        <c:crosses val="autoZero"/>
        <c:auto val="1"/>
        <c:lblAlgn val="ctr"/>
        <c:lblOffset val="100"/>
        <c:tickLblSkip val="1"/>
        <c:tickMarkSkip val="1"/>
      </c:catAx>
      <c:valAx>
        <c:axId val="96534912"/>
        <c:scaling>
          <c:orientation val="minMax"/>
          <c:max val="100"/>
          <c:min val="0"/>
        </c:scaling>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3.1842219404779395E-3"/>
              <c:y val="0.28075594375638524"/>
            </c:manualLayout>
          </c:layout>
          <c:spPr>
            <a:noFill/>
            <a:ln w="25382">
              <a:noFill/>
            </a:ln>
          </c:spPr>
        </c:title>
        <c:numFmt formatCode="0" sourceLinked="0"/>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96559104"/>
        <c:crosses val="autoZero"/>
        <c:crossBetween val="between"/>
        <c:majorUnit val="20"/>
        <c:minorUnit val="2"/>
      </c:valAx>
      <c:spPr>
        <a:noFill/>
        <a:ln w="25382">
          <a:noFill/>
        </a:ln>
      </c:spPr>
    </c:plotArea>
    <c:legend>
      <c:legendPos val="t"/>
      <c:layout>
        <c:manualLayout>
          <c:xMode val="edge"/>
          <c:yMode val="edge"/>
          <c:x val="2.5974025974026406E-2"/>
          <c:y val="1.1194029850746271E-2"/>
          <c:w val="0.89999995366051944"/>
          <c:h val="8.0327623624065966E-2"/>
        </c:manualLayout>
      </c:layou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95125573768822"/>
          <c:y val="0.11441784698191759"/>
          <c:w val="0.85809312638586033"/>
          <c:h val="0.61224046228045903"/>
        </c:manualLayout>
      </c:layout>
      <c:barChart>
        <c:barDir val="col"/>
        <c:grouping val="clustered"/>
        <c:ser>
          <c:idx val="0"/>
          <c:order val="0"/>
          <c:tx>
            <c:strRef>
              <c:f>Sheet1!$B$1</c:f>
              <c:strCache>
                <c:ptCount val="1"/>
                <c:pt idx="0">
                  <c:v>الأراضي الفلسطينية Palestinian Territory</c:v>
                </c:pt>
              </c:strCache>
            </c:strRef>
          </c:tx>
          <c:spPr>
            <a:solidFill>
              <a:srgbClr val="9999FF"/>
            </a:solidFill>
            <a:ln w="12183">
              <a:solidFill>
                <a:srgbClr val="000000"/>
              </a:solidFill>
              <a:prstDash val="solid"/>
            </a:ln>
          </c:spPr>
          <c:cat>
            <c:numRef>
              <c:f>Sheet1!$A$2:$A$3</c:f>
              <c:numCache>
                <c:formatCode>General</c:formatCode>
                <c:ptCount val="2"/>
                <c:pt idx="0">
                  <c:v>2011</c:v>
                </c:pt>
                <c:pt idx="1">
                  <c:v>2017</c:v>
                </c:pt>
              </c:numCache>
            </c:numRef>
          </c:cat>
          <c:val>
            <c:numRef>
              <c:f>Sheet1!$B$2:$B$3</c:f>
            </c:numRef>
          </c:val>
        </c:ser>
        <c:ser>
          <c:idx val="1"/>
          <c:order val="1"/>
          <c:tx>
            <c:strRef>
              <c:f>Sheet1!$C$1</c:f>
              <c:strCache>
                <c:ptCount val="1"/>
                <c:pt idx="0">
                  <c:v>West Bank</c:v>
                </c:pt>
              </c:strCache>
            </c:strRef>
          </c:tx>
          <c:spPr>
            <a:solidFill>
              <a:srgbClr val="993366"/>
            </a:solidFill>
            <a:ln w="12183">
              <a:solidFill>
                <a:srgbClr val="000000"/>
              </a:solidFill>
              <a:prstDash val="solid"/>
            </a:ln>
          </c:spPr>
          <c:cat>
            <c:numRef>
              <c:f>Sheet1!$A$2:$A$3</c:f>
              <c:numCache>
                <c:formatCode>General</c:formatCode>
                <c:ptCount val="2"/>
                <c:pt idx="0">
                  <c:v>2011</c:v>
                </c:pt>
                <c:pt idx="1">
                  <c:v>2017</c:v>
                </c:pt>
              </c:numCache>
            </c:numRef>
          </c:cat>
          <c:val>
            <c:numRef>
              <c:f>Sheet1!$C$2:$C$3</c:f>
              <c:numCache>
                <c:formatCode>General</c:formatCode>
                <c:ptCount val="2"/>
                <c:pt idx="0">
                  <c:v>17.8</c:v>
                </c:pt>
                <c:pt idx="1">
                  <c:v>13.9</c:v>
                </c:pt>
              </c:numCache>
            </c:numRef>
          </c:val>
        </c:ser>
        <c:ser>
          <c:idx val="2"/>
          <c:order val="2"/>
          <c:tx>
            <c:strRef>
              <c:f>Sheet1!$D$1</c:f>
              <c:strCache>
                <c:ptCount val="1"/>
                <c:pt idx="0">
                  <c:v>Gaza Strip</c:v>
                </c:pt>
              </c:strCache>
            </c:strRef>
          </c:tx>
          <c:spPr>
            <a:solidFill>
              <a:srgbClr val="FFFFCC"/>
            </a:solidFill>
            <a:ln w="12183">
              <a:solidFill>
                <a:srgbClr val="000000"/>
              </a:solidFill>
              <a:prstDash val="solid"/>
            </a:ln>
          </c:spPr>
          <c:dLbls>
            <c:numFmt formatCode="#,##0.0" sourceLinked="0"/>
            <c:dLblPos val="outEnd"/>
            <c:showVal val="1"/>
          </c:dLbls>
          <c:cat>
            <c:numRef>
              <c:f>Sheet1!$A$2:$A$3</c:f>
              <c:numCache>
                <c:formatCode>General</c:formatCode>
                <c:ptCount val="2"/>
                <c:pt idx="0">
                  <c:v>2011</c:v>
                </c:pt>
                <c:pt idx="1">
                  <c:v>2017</c:v>
                </c:pt>
              </c:numCache>
            </c:numRef>
          </c:cat>
          <c:val>
            <c:numRef>
              <c:f>Sheet1!$D$2:$D$3</c:f>
              <c:numCache>
                <c:formatCode>0.0</c:formatCode>
                <c:ptCount val="2"/>
                <c:pt idx="0" formatCode="General">
                  <c:v>38.800000000000004</c:v>
                </c:pt>
                <c:pt idx="1">
                  <c:v>53</c:v>
                </c:pt>
              </c:numCache>
            </c:numRef>
          </c:val>
        </c:ser>
        <c:dLbls>
          <c:showVal val="1"/>
        </c:dLbls>
        <c:axId val="96762496"/>
        <c:axId val="96776960"/>
      </c:barChart>
      <c:catAx>
        <c:axId val="96762496"/>
        <c:scaling>
          <c:orientation val="minMax"/>
        </c:scaling>
        <c:axPos val="b"/>
        <c:title>
          <c:tx>
            <c:rich>
              <a:bodyPr/>
              <a:lstStyle/>
              <a:p>
                <a:pPr>
                  <a:defRPr/>
                </a:pPr>
                <a:r>
                  <a:rPr lang="en-GB"/>
                  <a:t>Year</a:t>
                </a:r>
              </a:p>
            </c:rich>
          </c:tx>
          <c:layout>
            <c:manualLayout>
              <c:xMode val="edge"/>
              <c:yMode val="edge"/>
              <c:x val="0.43955534729117268"/>
              <c:y val="0.87928479939633497"/>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96776960"/>
        <c:crosses val="autoZero"/>
        <c:auto val="1"/>
        <c:lblAlgn val="ctr"/>
        <c:lblOffset val="100"/>
        <c:tickLblSkip val="1"/>
        <c:tickMarkSkip val="1"/>
      </c:catAx>
      <c:valAx>
        <c:axId val="96776960"/>
        <c:scaling>
          <c:orientation val="minMax"/>
        </c:scaling>
        <c:axPos val="l"/>
        <c:title>
          <c:tx>
            <c:rich>
              <a:bodyPr/>
              <a:lstStyle/>
              <a:p>
                <a:pPr>
                  <a:defRPr/>
                </a:pPr>
                <a:r>
                  <a:rPr lang="en-GB"/>
                  <a:t>Poverty Percntages</a:t>
                </a:r>
              </a:p>
            </c:rich>
          </c:tx>
          <c:layout>
            <c:manualLayout>
              <c:xMode val="edge"/>
              <c:yMode val="edge"/>
              <c:x val="1.5891905154915127E-2"/>
              <c:y val="0.1681813151734412"/>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96762496"/>
        <c:crosses val="autoZero"/>
        <c:crossBetween val="between"/>
      </c:valAx>
      <c:spPr>
        <a:noFill/>
        <a:ln w="25395">
          <a:noFill/>
        </a:ln>
      </c:spPr>
    </c:plotArea>
    <c:legend>
      <c:legendPos val="t"/>
      <c:layout>
        <c:manualLayout>
          <c:xMode val="edge"/>
          <c:yMode val="edge"/>
          <c:x val="6.2958144724663018E-2"/>
          <c:y val="1.9445562005479245E-2"/>
          <c:w val="0.90300125527789465"/>
          <c:h val="0.12904496426997719"/>
        </c:manualLayout>
      </c:layout>
      <c:spPr>
        <a:noFill/>
        <a:ln w="3044">
          <a:noFill/>
          <a:prstDash val="solid"/>
        </a:ln>
      </c:spPr>
    </c:legend>
    <c:plotVisOnly val="1"/>
    <c:dispBlanksAs val="gap"/>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146765842303899"/>
          <c:y val="6.8135477749637491E-2"/>
          <c:w val="0.86597230901692757"/>
          <c:h val="0.64008826222306625"/>
        </c:manualLayout>
      </c:layout>
      <c:lineChart>
        <c:grouping val="stacked"/>
        <c:ser>
          <c:idx val="0"/>
          <c:order val="0"/>
          <c:tx>
            <c:strRef>
              <c:f>ورقة1!$A$2</c:f>
              <c:strCache>
                <c:ptCount val="1"/>
                <c:pt idx="0">
                  <c:v>فئة 1</c:v>
                </c:pt>
              </c:strCache>
            </c:strRef>
          </c:tx>
          <c:marker>
            <c:symbol val="circle"/>
            <c:size val="6"/>
          </c:marker>
          <c:dLbls>
            <c:dLbl>
              <c:idx val="0"/>
              <c:layout>
                <c:manualLayout>
                  <c:x val="-4.3413376746710093E-2"/>
                  <c:y val="-5.3408763372004786E-2"/>
                </c:manualLayout>
              </c:layout>
              <c:tx>
                <c:rich>
                  <a:bodyPr/>
                  <a:lstStyle/>
                  <a:p>
                    <a:r>
                      <a:rPr lang="en-US"/>
                      <a:t>7,310</a:t>
                    </a:r>
                  </a:p>
                </c:rich>
              </c:tx>
              <c:showVal val="1"/>
            </c:dLbl>
            <c:dLbl>
              <c:idx val="1"/>
              <c:layout>
                <c:manualLayout>
                  <c:x val="-4.612677485870692E-2"/>
                  <c:y val="7.9089817162685178E-2"/>
                </c:manualLayout>
              </c:layout>
              <c:tx>
                <c:rich>
                  <a:bodyPr/>
                  <a:lstStyle/>
                  <a:p>
                    <a:r>
                      <a:rPr lang="en-US"/>
                      <a:t>6,966</a:t>
                    </a:r>
                  </a:p>
                </c:rich>
              </c:tx>
              <c:showVal val="1"/>
            </c:dLbl>
            <c:dLbl>
              <c:idx val="2"/>
              <c:layout>
                <c:manualLayout>
                  <c:x val="-4.6127415891195421E-2"/>
                  <c:y val="-6.9436540771386723E-2"/>
                </c:manualLayout>
              </c:layout>
              <c:tx>
                <c:rich>
                  <a:bodyPr/>
                  <a:lstStyle/>
                  <a:p>
                    <a:r>
                      <a:rPr lang="en-US"/>
                      <a:t>6,590</a:t>
                    </a:r>
                  </a:p>
                </c:rich>
              </c:tx>
              <c:showVal val="1"/>
            </c:dLbl>
            <c:dLbl>
              <c:idx val="3"/>
              <c:layout>
                <c:manualLayout>
                  <c:x val="-2.1706001132490733E-2"/>
                  <c:y val="6.9436540771386723E-2"/>
                </c:manualLayout>
              </c:layout>
              <c:tx>
                <c:rich>
                  <a:bodyPr/>
                  <a:lstStyle/>
                  <a:p>
                    <a:r>
                      <a:rPr lang="en-US"/>
                      <a:t>7,210</a:t>
                    </a:r>
                  </a:p>
                </c:rich>
              </c:tx>
              <c:showVal val="1"/>
            </c:dLbl>
            <c:dLbl>
              <c:idx val="4"/>
              <c:layout>
                <c:manualLayout>
                  <c:x val="-1.3567452643724781E-2"/>
                  <c:y val="-2.608834912585125E-2"/>
                </c:manualLayout>
              </c:layout>
              <c:tx>
                <c:rich>
                  <a:bodyPr/>
                  <a:lstStyle/>
                  <a:p>
                    <a:r>
                      <a:rPr lang="en-US"/>
                      <a:t>8,870</a:t>
                    </a:r>
                  </a:p>
                </c:rich>
              </c:tx>
              <c:showVal val="1"/>
            </c:dLbl>
            <c:dLbl>
              <c:idx val="5"/>
              <c:layout>
                <c:manualLayout>
                  <c:x val="-3.7986704653371402E-2"/>
                  <c:y val="5.3408763372004786E-2"/>
                </c:manualLayout>
              </c:layout>
              <c:tx>
                <c:rich>
                  <a:bodyPr/>
                  <a:lstStyle/>
                  <a:p>
                    <a:r>
                      <a:rPr lang="en-US"/>
                      <a:t>4,746</a:t>
                    </a:r>
                  </a:p>
                </c:rich>
              </c:tx>
              <c:showVal val="1"/>
            </c:dLbl>
            <c:dLbl>
              <c:idx val="6"/>
              <c:layout>
                <c:manualLayout>
                  <c:x val="-4.3413376746710093E-2"/>
                  <c:y val="-4.1083664132312132E-2"/>
                </c:manualLayout>
              </c:layout>
              <c:tx>
                <c:rich>
                  <a:bodyPr/>
                  <a:lstStyle/>
                  <a:p>
                    <a:r>
                      <a:rPr lang="en-US"/>
                      <a:t>7,993</a:t>
                    </a:r>
                  </a:p>
                </c:rich>
              </c:tx>
              <c:showVal val="1"/>
            </c:dLbl>
            <c:dLbl>
              <c:idx val="7"/>
              <c:layout>
                <c:manualLayout>
                  <c:x val="-3.2560032560032558E-2"/>
                  <c:y val="5.3408763372004786E-2"/>
                </c:manualLayout>
              </c:layout>
              <c:tx>
                <c:rich>
                  <a:bodyPr/>
                  <a:lstStyle/>
                  <a:p>
                    <a:r>
                      <a:rPr lang="en-US"/>
                      <a:t>5,713</a:t>
                    </a:r>
                  </a:p>
                </c:rich>
              </c:tx>
              <c:showVal val="1"/>
            </c:dLbl>
            <c:dLbl>
              <c:idx val="8"/>
              <c:layout>
                <c:manualLayout>
                  <c:x val="-1.6280088462483747E-2"/>
                  <c:y val="5.1768850927532424E-2"/>
                </c:manualLayout>
              </c:layout>
              <c:tx>
                <c:rich>
                  <a:bodyPr/>
                  <a:lstStyle/>
                  <a:p>
                    <a:r>
                      <a:rPr lang="en-US"/>
                      <a:t>7,284</a:t>
                    </a:r>
                  </a:p>
                </c:rich>
              </c:tx>
              <c:showVal val="1"/>
            </c:dLbl>
            <c:dLbl>
              <c:idx val="9"/>
              <c:layout>
                <c:manualLayout>
                  <c:x val="-4.3414780072437022E-2"/>
                  <c:y val="-6.1422661150408106E-2"/>
                </c:manualLayout>
              </c:layout>
              <c:tx>
                <c:rich>
                  <a:bodyPr/>
                  <a:lstStyle/>
                  <a:p>
                    <a:r>
                      <a:rPr lang="en-US"/>
                      <a:t>8,172</a:t>
                    </a:r>
                  </a:p>
                </c:rich>
              </c:tx>
              <c:showVal val="1"/>
            </c:dLbl>
            <c:dLbl>
              <c:idx val="10"/>
              <c:layout>
                <c:manualLayout>
                  <c:x val="-2.7133360466694699E-2"/>
                  <c:y val="-5.3408763372004786E-2"/>
                </c:manualLayout>
              </c:layout>
              <c:tx>
                <c:rich>
                  <a:bodyPr/>
                  <a:lstStyle/>
                  <a:p>
                    <a:r>
                      <a:rPr lang="en-US"/>
                      <a:t>7,305</a:t>
                    </a:r>
                  </a:p>
                </c:rich>
              </c:tx>
              <c:showVal val="1"/>
            </c:dLbl>
            <c:dLbl>
              <c:idx val="11"/>
              <c:layout>
                <c:manualLayout>
                  <c:x val="-4.0698939091229624E-2"/>
                  <c:y val="7.9090350994261524E-2"/>
                </c:manualLayout>
              </c:layout>
              <c:tx>
                <c:rich>
                  <a:bodyPr/>
                  <a:lstStyle/>
                  <a:p>
                    <a:r>
                      <a:rPr lang="en-US"/>
                      <a:t>6,638</a:t>
                    </a:r>
                  </a:p>
                </c:rich>
              </c:tx>
              <c:showVal val="1"/>
            </c:dLbl>
            <c:showVal val="1"/>
          </c:dLbls>
          <c:cat>
            <c:strRef>
              <c:f>ورقة1!$B$1:$M$1</c:f>
              <c:strCache>
                <c:ptCount val="12"/>
                <c:pt idx="0">
                  <c:v> January</c:v>
                </c:pt>
                <c:pt idx="1">
                  <c:v>February</c:v>
                </c:pt>
                <c:pt idx="2">
                  <c:v> March</c:v>
                </c:pt>
                <c:pt idx="3">
                  <c:v> April</c:v>
                </c:pt>
                <c:pt idx="4">
                  <c:v> May</c:v>
                </c:pt>
                <c:pt idx="5">
                  <c:v> June</c:v>
                </c:pt>
                <c:pt idx="6">
                  <c:v>  July</c:v>
                </c:pt>
                <c:pt idx="7">
                  <c:v> August</c:v>
                </c:pt>
                <c:pt idx="8">
                  <c:v>  September</c:v>
                </c:pt>
                <c:pt idx="9">
                  <c:v>  October</c:v>
                </c:pt>
                <c:pt idx="10">
                  <c:v>  November</c:v>
                </c:pt>
                <c:pt idx="11">
                  <c:v> December</c:v>
                </c:pt>
              </c:strCache>
            </c:strRef>
          </c:cat>
          <c:val>
            <c:numRef>
              <c:f>ورقة1!$B$2:$M$2</c:f>
              <c:numCache>
                <c:formatCode>General</c:formatCode>
                <c:ptCount val="12"/>
                <c:pt idx="0">
                  <c:v>7310</c:v>
                </c:pt>
                <c:pt idx="1">
                  <c:v>6966</c:v>
                </c:pt>
                <c:pt idx="2">
                  <c:v>6590</c:v>
                </c:pt>
                <c:pt idx="3">
                  <c:v>7210</c:v>
                </c:pt>
                <c:pt idx="4">
                  <c:v>8870</c:v>
                </c:pt>
                <c:pt idx="5">
                  <c:v>4746</c:v>
                </c:pt>
                <c:pt idx="6">
                  <c:v>7993</c:v>
                </c:pt>
                <c:pt idx="7">
                  <c:v>5713</c:v>
                </c:pt>
                <c:pt idx="8">
                  <c:v>7284</c:v>
                </c:pt>
                <c:pt idx="9">
                  <c:v>8172</c:v>
                </c:pt>
                <c:pt idx="10">
                  <c:v>7305</c:v>
                </c:pt>
                <c:pt idx="11">
                  <c:v>6638</c:v>
                </c:pt>
              </c:numCache>
            </c:numRef>
          </c:val>
          <c:smooth val="1"/>
        </c:ser>
        <c:dLbls>
          <c:showVal val="1"/>
        </c:dLbls>
        <c:marker val="1"/>
        <c:axId val="96793344"/>
        <c:axId val="96794880"/>
      </c:lineChart>
      <c:catAx>
        <c:axId val="96793344"/>
        <c:scaling>
          <c:orientation val="minMax"/>
        </c:scaling>
        <c:axPos val="b"/>
        <c:tickLblPos val="nextTo"/>
        <c:txPr>
          <a:bodyPr/>
          <a:lstStyle/>
          <a:p>
            <a:pPr>
              <a:defRPr>
                <a:latin typeface="Arial" pitchFamily="34" charset="0"/>
                <a:cs typeface="Arial" pitchFamily="34" charset="0"/>
              </a:defRPr>
            </a:pPr>
            <a:endParaRPr lang="ar-SA"/>
          </a:p>
        </c:txPr>
        <c:crossAx val="96794880"/>
        <c:crosses val="autoZero"/>
        <c:auto val="1"/>
        <c:lblAlgn val="ctr"/>
        <c:lblOffset val="100"/>
      </c:catAx>
      <c:valAx>
        <c:axId val="96794880"/>
        <c:scaling>
          <c:orientation val="minMax"/>
        </c:scaling>
        <c:axPos val="l"/>
        <c:numFmt formatCode="General" sourceLinked="1"/>
        <c:tickLblPos val="nextTo"/>
        <c:txPr>
          <a:bodyPr/>
          <a:lstStyle/>
          <a:p>
            <a:pPr>
              <a:defRPr>
                <a:latin typeface="Arial" pitchFamily="34" charset="0"/>
                <a:cs typeface="Arial" pitchFamily="34" charset="0"/>
              </a:defRPr>
            </a:pPr>
            <a:endParaRPr lang="ar-SA"/>
          </a:p>
        </c:txPr>
        <c:crossAx val="96793344"/>
        <c:crosses val="autoZero"/>
        <c:crossBetween val="between"/>
        <c:majorUnit val="2000"/>
      </c:valAx>
      <c:spPr>
        <a:ln>
          <a:solidFill>
            <a:schemeClr val="accent1"/>
          </a:solidFill>
        </a:ln>
      </c:spPr>
    </c:plotArea>
    <c:plotVisOnly val="1"/>
  </c:chart>
  <c:spPr>
    <a:ln>
      <a:noFill/>
    </a:ln>
  </c:spPr>
  <c:txPr>
    <a:bodyPr/>
    <a:lstStyle/>
    <a:p>
      <a:pPr>
        <a:defRPr sz="800">
          <a:cs typeface="+mn-cs"/>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99124061985069"/>
          <c:y val="0.13365573530377337"/>
          <c:w val="0.84833135061026899"/>
          <c:h val="0.50593073924011933"/>
        </c:manualLayout>
      </c:layout>
      <c:barChart>
        <c:barDir val="col"/>
        <c:grouping val="clustered"/>
        <c:ser>
          <c:idx val="0"/>
          <c:order val="0"/>
          <c:tx>
            <c:strRef>
              <c:f>Sheet1!$A$2</c:f>
              <c:strCache>
                <c:ptCount val="1"/>
                <c:pt idx="0">
                  <c:v>East</c:v>
                </c:pt>
              </c:strCache>
            </c:strRef>
          </c:tx>
          <c:spPr>
            <a:solidFill>
              <a:srgbClr val="9999FF"/>
            </a:solidFill>
            <a:ln w="12170">
              <a:solidFill>
                <a:srgbClr val="000000"/>
              </a:solidFill>
              <a:prstDash val="solid"/>
            </a:ln>
          </c:spPr>
          <c:dLbls>
            <c:txPr>
              <a:bodyPr/>
              <a:lstStyle/>
              <a:p>
                <a:pPr>
                  <a:defRPr b="0"/>
                </a:pPr>
                <a:endParaRPr lang="ar-SA"/>
              </a:p>
            </c:txPr>
            <c:showVal val="1"/>
          </c:dLbls>
          <c:cat>
            <c:strRef>
              <c:f>Sheet1!$B$1:$F$1</c:f>
              <c:strCache>
                <c:ptCount val="5"/>
                <c:pt idx="0">
                  <c:v>Mobile Phone </c:v>
                </c:pt>
                <c:pt idx="1">
                  <c:v> Computer Desktop</c:v>
                </c:pt>
                <c:pt idx="2">
                  <c:v>Telephone Line</c:v>
                </c:pt>
                <c:pt idx="3">
                  <c:v>Internet at Home</c:v>
                </c:pt>
                <c:pt idx="4">
                  <c:v>Laptop</c:v>
                </c:pt>
              </c:strCache>
            </c:strRef>
          </c:cat>
          <c:val>
            <c:numRef>
              <c:f>Sheet1!$B$2:$F$2</c:f>
              <c:numCache>
                <c:formatCode>General</c:formatCode>
                <c:ptCount val="5"/>
                <c:pt idx="0">
                  <c:v>96.5</c:v>
                </c:pt>
                <c:pt idx="1">
                  <c:v>11.3</c:v>
                </c:pt>
                <c:pt idx="2">
                  <c:v>31.7</c:v>
                </c:pt>
                <c:pt idx="3">
                  <c:v>64.5</c:v>
                </c:pt>
                <c:pt idx="4">
                  <c:v>24.2</c:v>
                </c:pt>
              </c:numCache>
            </c:numRef>
          </c:val>
        </c:ser>
        <c:dLbls>
          <c:showVal val="1"/>
        </c:dLbls>
        <c:axId val="96843264"/>
        <c:axId val="96845184"/>
      </c:barChart>
      <c:catAx>
        <c:axId val="96843264"/>
        <c:scaling>
          <c:orientation val="minMax"/>
        </c:scaling>
        <c:axPos val="b"/>
        <c:title>
          <c:tx>
            <c:rich>
              <a:bodyPr/>
              <a:lstStyle/>
              <a:p>
                <a:pPr>
                  <a:defRPr/>
                </a:pPr>
                <a:r>
                  <a:rPr lang="en-US"/>
                  <a:t>ICT Tools</a:t>
                </a:r>
              </a:p>
            </c:rich>
          </c:tx>
          <c:layout>
            <c:manualLayout>
              <c:xMode val="edge"/>
              <c:yMode val="edge"/>
              <c:x val="0.46719128285960781"/>
              <c:y val="0.84818451588122656"/>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96845184"/>
        <c:crosses val="autoZero"/>
        <c:auto val="1"/>
        <c:lblAlgn val="ctr"/>
        <c:lblOffset val="100"/>
        <c:tickLblSkip val="1"/>
        <c:tickMarkSkip val="1"/>
      </c:catAx>
      <c:valAx>
        <c:axId val="96845184"/>
        <c:scaling>
          <c:orientation val="minMax"/>
          <c:max val="100"/>
          <c:min val="0"/>
        </c:scaling>
        <c:axPos val="l"/>
        <c:title>
          <c:tx>
            <c:rich>
              <a:bodyPr/>
              <a:lstStyle/>
              <a:p>
                <a:pPr>
                  <a:defRPr b="1"/>
                </a:pPr>
                <a:r>
                  <a:rPr lang="en-US" b="1"/>
                  <a:t>Percentage</a:t>
                </a:r>
              </a:p>
            </c:rich>
          </c:tx>
          <c:layout>
            <c:manualLayout>
              <c:xMode val="edge"/>
              <c:yMode val="edge"/>
              <c:x val="1.2342838869645201E-2"/>
              <c:y val="0.17177806550735294"/>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96843264"/>
        <c:crosses val="autoZero"/>
        <c:crossBetween val="between"/>
        <c:majorUnit val="20"/>
      </c:valAx>
      <c:spPr>
        <a:noFill/>
        <a:ln w="25166">
          <a:noFill/>
        </a:ln>
      </c:spPr>
    </c:plotArea>
    <c:plotVisOnly val="1"/>
    <c:dispBlanksAs val="gap"/>
  </c:chart>
  <c:spPr>
    <a:noFill/>
    <a:ln>
      <a:noFill/>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217171326943529"/>
          <c:y val="3.4042359288422412E-2"/>
          <c:w val="0.7574905220180842"/>
          <c:h val="0.62702340408141888"/>
        </c:manualLayout>
      </c:layout>
      <c:barChart>
        <c:barDir val="col"/>
        <c:grouping val="clustered"/>
        <c:ser>
          <c:idx val="0"/>
          <c:order val="0"/>
          <c:tx>
            <c:strRef>
              <c:f>Sheet1!$B$1</c:f>
              <c:strCache>
                <c:ptCount val="1"/>
                <c:pt idx="0">
                  <c:v>عدد الافعال الاجرامية المبلغ عنها</c:v>
                </c:pt>
              </c:strCache>
            </c:strRef>
          </c:tx>
          <c:cat>
            <c:strRef>
              <c:f>Sheet1!$A$2:$A$12</c:f>
              <c:strCache>
                <c:ptCount val="11"/>
                <c:pt idx="0">
                  <c:v>  Hebron</c:v>
                </c:pt>
                <c:pt idx="1">
                  <c:v>  Ramallah &amp; Al Bireh</c:v>
                </c:pt>
                <c:pt idx="2">
                  <c:v>  Jenin</c:v>
                </c:pt>
                <c:pt idx="3">
                  <c:v>  Nablus</c:v>
                </c:pt>
                <c:pt idx="4">
                  <c:v>  Bethlehem</c:v>
                </c:pt>
                <c:pt idx="5">
                  <c:v>  Salfit</c:v>
                </c:pt>
                <c:pt idx="6">
                  <c:v>  Qalqiliya</c:v>
                </c:pt>
                <c:pt idx="7">
                  <c:v>  Tulkarm</c:v>
                </c:pt>
                <c:pt idx="8">
                  <c:v>  Jericho &amp; Al Aghwar</c:v>
                </c:pt>
                <c:pt idx="9">
                  <c:v>  Tubas &amp; Northern Valleys</c:v>
                </c:pt>
                <c:pt idx="10">
                  <c:v>  Jerusalem*</c:v>
                </c:pt>
              </c:strCache>
            </c:strRef>
          </c:cat>
          <c:val>
            <c:numRef>
              <c:f>Sheet1!$B$2:$B$12</c:f>
              <c:numCache>
                <c:formatCode>#,##0</c:formatCode>
                <c:ptCount val="11"/>
                <c:pt idx="0">
                  <c:v>5498</c:v>
                </c:pt>
                <c:pt idx="1">
                  <c:v>5382</c:v>
                </c:pt>
                <c:pt idx="2">
                  <c:v>4783</c:v>
                </c:pt>
                <c:pt idx="3">
                  <c:v>4165</c:v>
                </c:pt>
                <c:pt idx="4">
                  <c:v>3274</c:v>
                </c:pt>
                <c:pt idx="5">
                  <c:v>2256</c:v>
                </c:pt>
                <c:pt idx="6">
                  <c:v>2138</c:v>
                </c:pt>
                <c:pt idx="7">
                  <c:v>1952</c:v>
                </c:pt>
                <c:pt idx="8">
                  <c:v>1741</c:v>
                </c:pt>
                <c:pt idx="9">
                  <c:v>1202</c:v>
                </c:pt>
                <c:pt idx="10">
                  <c:v>1188</c:v>
                </c:pt>
              </c:numCache>
            </c:numRef>
          </c:val>
        </c:ser>
        <c:dLbls>
          <c:showVal val="1"/>
        </c:dLbls>
        <c:axId val="97004544"/>
        <c:axId val="97026816"/>
      </c:barChart>
      <c:catAx>
        <c:axId val="97004544"/>
        <c:scaling>
          <c:orientation val="minMax"/>
        </c:scaling>
        <c:axPos val="b"/>
        <c:tickLblPos val="nextTo"/>
        <c:txPr>
          <a:bodyPr rot="1080000" vert="horz"/>
          <a:lstStyle/>
          <a:p>
            <a:pPr>
              <a:defRPr sz="690" baseline="0">
                <a:latin typeface="Arial" pitchFamily="34" charset="0"/>
                <a:cs typeface="Arial" pitchFamily="34" charset="0"/>
              </a:defRPr>
            </a:pPr>
            <a:endParaRPr lang="ar-SA"/>
          </a:p>
        </c:txPr>
        <c:crossAx val="97026816"/>
        <c:crosses val="autoZero"/>
        <c:auto val="1"/>
        <c:lblAlgn val="ctr"/>
        <c:lblOffset val="100"/>
      </c:catAx>
      <c:valAx>
        <c:axId val="97026816"/>
        <c:scaling>
          <c:orientation val="minMax"/>
        </c:scaling>
        <c:axPos val="l"/>
        <c:numFmt formatCode="#,##0" sourceLinked="0"/>
        <c:tickLblPos val="nextTo"/>
        <c:txPr>
          <a:bodyPr/>
          <a:lstStyle/>
          <a:p>
            <a:pPr>
              <a:defRPr>
                <a:latin typeface="Arial" pitchFamily="34" charset="0"/>
                <a:cs typeface="Arial" pitchFamily="34" charset="0"/>
              </a:defRPr>
            </a:pPr>
            <a:endParaRPr lang="ar-SA"/>
          </a:p>
        </c:txPr>
        <c:crossAx val="97004544"/>
        <c:crosses val="autoZero"/>
        <c:crossBetween val="between"/>
      </c:valAx>
    </c:plotArea>
    <c:plotVisOnly val="1"/>
  </c:chart>
  <c:spPr>
    <a:ln>
      <a:noFill/>
    </a:ln>
  </c:spPr>
  <c:txPr>
    <a:bodyPr/>
    <a:lstStyle/>
    <a:p>
      <a:pPr>
        <a:defRPr sz="800"/>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23662951222048"/>
          <c:y val="6.267806267806264E-2"/>
          <c:w val="0.83022213132449363"/>
          <c:h val="0.67147231596050494"/>
        </c:manualLayout>
      </c:layout>
      <c:barChart>
        <c:barDir val="col"/>
        <c:grouping val="clustered"/>
        <c:ser>
          <c:idx val="0"/>
          <c:order val="0"/>
          <c:tx>
            <c:strRef>
              <c:f>Sheet1!$B$1</c:f>
              <c:strCache>
                <c:ptCount val="1"/>
                <c:pt idx="0">
                  <c:v>2018</c:v>
                </c:pt>
              </c:strCache>
            </c:strRef>
          </c:tx>
          <c:dLbls>
            <c:txPr>
              <a:bodyPr/>
              <a:lstStyle/>
              <a:p>
                <a:pPr>
                  <a:defRPr>
                    <a:latin typeface="Arial" pitchFamily="34" charset="0"/>
                    <a:cs typeface="Arial" pitchFamily="34" charset="0"/>
                  </a:defRPr>
                </a:pPr>
                <a:endParaRPr lang="ar-SA"/>
              </a:p>
            </c:txPr>
            <c:showVal val="1"/>
          </c:dLbls>
          <c:cat>
            <c:strRef>
              <c:f>Sheet1!$A$2:$A$8</c:f>
              <c:strCache>
                <c:ptCount val="7"/>
                <c:pt idx="0">
                  <c:v>  Tulkarm</c:v>
                </c:pt>
                <c:pt idx="1">
                  <c:v>  Nablus</c:v>
                </c:pt>
                <c:pt idx="2">
                  <c:v>  Ramallah</c:v>
                </c:pt>
                <c:pt idx="3">
                  <c:v>  Jenin</c:v>
                </c:pt>
                <c:pt idx="4">
                  <c:v>  Tulkarm</c:v>
                </c:pt>
                <c:pt idx="5">
                  <c:v>  Hebron</c:v>
                </c:pt>
                <c:pt idx="6">
                  <c:v> Jericho</c:v>
                </c:pt>
              </c:strCache>
            </c:strRef>
          </c:cat>
          <c:val>
            <c:numRef>
              <c:f>Sheet1!$B$2:$B$8</c:f>
              <c:numCache>
                <c:formatCode>General</c:formatCode>
                <c:ptCount val="7"/>
                <c:pt idx="0">
                  <c:v>877</c:v>
                </c:pt>
                <c:pt idx="1">
                  <c:v>873</c:v>
                </c:pt>
                <c:pt idx="2">
                  <c:v>804</c:v>
                </c:pt>
                <c:pt idx="3">
                  <c:v>763</c:v>
                </c:pt>
                <c:pt idx="4">
                  <c:v>621</c:v>
                </c:pt>
                <c:pt idx="5">
                  <c:v>518</c:v>
                </c:pt>
                <c:pt idx="6">
                  <c:v>213</c:v>
                </c:pt>
              </c:numCache>
            </c:numRef>
          </c:val>
        </c:ser>
        <c:dLbls>
          <c:showVal val="1"/>
        </c:dLbls>
        <c:axId val="96964608"/>
        <c:axId val="96966528"/>
      </c:barChart>
      <c:catAx>
        <c:axId val="96964608"/>
        <c:scaling>
          <c:orientation val="minMax"/>
        </c:scaling>
        <c:axPos val="b"/>
        <c:title>
          <c:tx>
            <c:rich>
              <a:bodyPr/>
              <a:lstStyle/>
              <a:p>
                <a:pPr>
                  <a:defRPr/>
                </a:pPr>
                <a:r>
                  <a:rPr lang="en-US"/>
                  <a:t>Station</a:t>
                </a:r>
              </a:p>
            </c:rich>
          </c:tx>
          <c:layout>
            <c:manualLayout>
              <c:xMode val="edge"/>
              <c:yMode val="edge"/>
              <c:x val="0.46554521593891685"/>
              <c:y val="0.87045177492349235"/>
            </c:manualLayout>
          </c:layout>
        </c:title>
        <c:numFmt formatCode="General" sourceLinked="1"/>
        <c:tickLblPos val="nextTo"/>
        <c:txPr>
          <a:bodyPr rot="0"/>
          <a:lstStyle/>
          <a:p>
            <a:pPr>
              <a:defRPr>
                <a:latin typeface="Arial" pitchFamily="34" charset="0"/>
                <a:cs typeface="Arial" pitchFamily="34" charset="0"/>
              </a:defRPr>
            </a:pPr>
            <a:endParaRPr lang="ar-SA"/>
          </a:p>
        </c:txPr>
        <c:crossAx val="96966528"/>
        <c:crosses val="autoZero"/>
        <c:auto val="1"/>
        <c:lblAlgn val="ctr"/>
        <c:lblOffset val="100"/>
        <c:tickLblSkip val="1"/>
      </c:catAx>
      <c:valAx>
        <c:axId val="96966528"/>
        <c:scaling>
          <c:orientation val="minMax"/>
          <c:max val="1000"/>
          <c:min val="0"/>
        </c:scaling>
        <c:axPos val="l"/>
        <c:title>
          <c:tx>
            <c:rich>
              <a:bodyPr rot="-5400000" vert="horz"/>
              <a:lstStyle/>
              <a:p>
                <a:pPr>
                  <a:defRPr/>
                </a:pPr>
                <a:r>
                  <a:rPr lang="en-US" sz="799" b="1" i="0" u="none" strike="noStrike" baseline="0"/>
                  <a:t>Annual Rainfall Quantity (mm) </a:t>
                </a:r>
                <a:endParaRPr lang="en-US"/>
              </a:p>
            </c:rich>
          </c:tx>
          <c:layout>
            <c:manualLayout>
              <c:xMode val="edge"/>
              <c:yMode val="edge"/>
              <c:x val="3.3563986319891831E-4"/>
              <c:y val="9.2251549951605005E-2"/>
            </c:manualLayout>
          </c:layout>
        </c:title>
        <c:numFmt formatCode="General" sourceLinked="1"/>
        <c:tickLblPos val="nextTo"/>
        <c:txPr>
          <a:bodyPr/>
          <a:lstStyle/>
          <a:p>
            <a:pPr>
              <a:defRPr sz="700">
                <a:latin typeface="Arial" pitchFamily="34" charset="0"/>
                <a:cs typeface="Arial" pitchFamily="34" charset="0"/>
              </a:defRPr>
            </a:pPr>
            <a:endParaRPr lang="ar-SA"/>
          </a:p>
        </c:txPr>
        <c:crossAx val="96964608"/>
        <c:crosses val="autoZero"/>
        <c:crossBetween val="between"/>
        <c:majorUnit val="200"/>
      </c:valAx>
    </c:plotArea>
    <c:plotVisOnly val="1"/>
    <c:dispBlanksAs val="zero"/>
  </c:chart>
  <c:spPr>
    <a:noFill/>
    <a:ln>
      <a:noFill/>
    </a:ln>
  </c:spPr>
  <c:txPr>
    <a:bodyPr/>
    <a:lstStyle/>
    <a:p>
      <a:pPr>
        <a:defRPr sz="799">
          <a:latin typeface="Arial (Body)"/>
        </a:defRPr>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434481078003041"/>
          <c:y val="5.7762824291669172E-2"/>
          <c:w val="0.84599814497539483"/>
          <c:h val="0.63808007288663782"/>
        </c:manualLayout>
      </c:layout>
      <c:barChart>
        <c:barDir val="col"/>
        <c:grouping val="clustered"/>
        <c:ser>
          <c:idx val="0"/>
          <c:order val="0"/>
          <c:tx>
            <c:strRef>
              <c:f>Sheet1!$B$1</c:f>
              <c:strCache>
                <c:ptCount val="1"/>
                <c:pt idx="0">
                  <c:v>2016</c:v>
                </c:pt>
              </c:strCache>
            </c:strRef>
          </c:tx>
          <c:dLbls>
            <c:dLbl>
              <c:idx val="0"/>
              <c:layout/>
              <c:tx>
                <c:rich>
                  <a:bodyPr/>
                  <a:lstStyle/>
                  <a:p>
                    <a:r>
                      <a:rPr lang="en-US"/>
                      <a:t>15.2</a:t>
                    </a:r>
                  </a:p>
                </c:rich>
              </c:tx>
              <c:showVal val="1"/>
            </c:dLbl>
            <c:dLbl>
              <c:idx val="1"/>
              <c:layout>
                <c:manualLayout>
                  <c:x val="3.1545741324922162E-3"/>
                  <c:y val="5.0359712230215833E-2"/>
                </c:manualLayout>
              </c:layout>
              <c:tx>
                <c:rich>
                  <a:bodyPr/>
                  <a:lstStyle/>
                  <a:p>
                    <a:r>
                      <a:rPr lang="en-US" sz="800">
                        <a:latin typeface="Arial" pitchFamily="34" charset="0"/>
                        <a:cs typeface="Arial" pitchFamily="34" charset="0"/>
                      </a:rPr>
                      <a:t> </a:t>
                    </a:r>
                    <a:r>
                      <a:rPr lang="en-US"/>
                      <a:t>12.0</a:t>
                    </a:r>
                  </a:p>
                  <a:p>
                    <a:endParaRPr lang="en-US"/>
                  </a:p>
                </c:rich>
              </c:tx>
              <c:showVal val="1"/>
            </c:dLbl>
            <c:dLbl>
              <c:idx val="2"/>
              <c:layout/>
              <c:tx>
                <c:rich>
                  <a:bodyPr/>
                  <a:lstStyle/>
                  <a:p>
                    <a:r>
                      <a:rPr lang="en-US"/>
                      <a:t>3.2</a:t>
                    </a:r>
                  </a:p>
                </c:rich>
              </c:tx>
              <c:showVal val="1"/>
            </c:dLbl>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Sheet1!$B$2:$B$4</c:f>
              <c:numCache>
                <c:formatCode>#,##0.0</c:formatCode>
                <c:ptCount val="3"/>
                <c:pt idx="0" formatCode="0.0">
                  <c:v>13.3</c:v>
                </c:pt>
                <c:pt idx="1">
                  <c:v>9.9</c:v>
                </c:pt>
                <c:pt idx="2" formatCode="0.0">
                  <c:v>3.4</c:v>
                </c:pt>
              </c:numCache>
            </c:numRef>
          </c:val>
        </c:ser>
        <c:ser>
          <c:idx val="1"/>
          <c:order val="1"/>
          <c:tx>
            <c:strRef>
              <c:f>Sheet1!$C$1</c:f>
              <c:strCache>
                <c:ptCount val="1"/>
                <c:pt idx="0">
                  <c:v>2017</c:v>
                </c:pt>
              </c:strCache>
            </c:strRef>
          </c:tx>
          <c:dLbls>
            <c:dLbl>
              <c:idx val="0"/>
              <c:layout/>
              <c:tx>
                <c:rich>
                  <a:bodyPr/>
                  <a:lstStyle/>
                  <a:p>
                    <a:r>
                      <a:rPr lang="en-US"/>
                      <a:t>15.4</a:t>
                    </a:r>
                  </a:p>
                </c:rich>
              </c:tx>
              <c:showVal val="1"/>
            </c:dLbl>
            <c:dLbl>
              <c:idx val="1"/>
              <c:layout/>
              <c:tx>
                <c:rich>
                  <a:bodyPr/>
                  <a:lstStyle/>
                  <a:p>
                    <a:r>
                      <a:rPr lang="en-US"/>
                      <a:t>12.5</a:t>
                    </a:r>
                  </a:p>
                </c:rich>
              </c:tx>
              <c:showVal val="1"/>
            </c:dLbl>
            <c:dLbl>
              <c:idx val="2"/>
              <c:layout/>
              <c:tx>
                <c:rich>
                  <a:bodyPr/>
                  <a:lstStyle/>
                  <a:p>
                    <a:r>
                      <a:rPr lang="en-US"/>
                      <a:t>2.9</a:t>
                    </a:r>
                  </a:p>
                </c:rich>
              </c:tx>
              <c:showVal val="1"/>
            </c:dLbl>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Sheet1!$C$2:$C$4</c:f>
              <c:numCache>
                <c:formatCode>#,##0.0</c:formatCode>
                <c:ptCount val="3"/>
                <c:pt idx="0" formatCode="0.0">
                  <c:v>13.7</c:v>
                </c:pt>
                <c:pt idx="1">
                  <c:v>10.7</c:v>
                </c:pt>
                <c:pt idx="2" formatCode="0.0">
                  <c:v>3</c:v>
                </c:pt>
              </c:numCache>
            </c:numRef>
          </c:val>
        </c:ser>
        <c:ser>
          <c:idx val="2"/>
          <c:order val="2"/>
          <c:tx>
            <c:strRef>
              <c:f>Sheet1!$D$1</c:f>
              <c:strCache>
                <c:ptCount val="1"/>
                <c:pt idx="0">
                  <c:v>2018</c:v>
                </c:pt>
              </c:strCache>
            </c:strRef>
          </c:tx>
          <c:dLbls>
            <c:dLbl>
              <c:idx val="0"/>
              <c:layout/>
              <c:tx>
                <c:rich>
                  <a:bodyPr/>
                  <a:lstStyle/>
                  <a:p>
                    <a:r>
                      <a:rPr lang="en-US"/>
                      <a:t>15.6</a:t>
                    </a:r>
                  </a:p>
                </c:rich>
              </c:tx>
              <c:showVal val="1"/>
            </c:dLbl>
            <c:dLbl>
              <c:idx val="1"/>
              <c:layout/>
              <c:tx>
                <c:rich>
                  <a:bodyPr/>
                  <a:lstStyle/>
                  <a:p>
                    <a:r>
                      <a:rPr lang="en-US"/>
                      <a:t>12.8</a:t>
                    </a:r>
                  </a:p>
                </c:rich>
              </c:tx>
              <c:showVal val="1"/>
            </c:dLbl>
            <c:txPr>
              <a:bodyPr/>
              <a:lstStyle/>
              <a:p>
                <a:pPr>
                  <a:defRPr sz="800">
                    <a:latin typeface="Arial" pitchFamily="34" charset="0"/>
                    <a:cs typeface="Arial" pitchFamily="34" charset="0"/>
                  </a:defRPr>
                </a:pPr>
                <a:endParaRPr lang="ar-SA"/>
              </a:p>
            </c:txPr>
            <c:showVal val="1"/>
          </c:dLbls>
          <c:cat>
            <c:strRef>
              <c:f>Sheet1!$A$2:$A$4</c:f>
              <c:strCache>
                <c:ptCount val="3"/>
                <c:pt idx="0">
                  <c:v>Palestine</c:v>
                </c:pt>
                <c:pt idx="1">
                  <c:v>West Bank</c:v>
                </c:pt>
                <c:pt idx="2">
                  <c:v>Gaza Strip</c:v>
                </c:pt>
              </c:strCache>
            </c:strRef>
          </c:cat>
          <c:val>
            <c:numRef>
              <c:f>Sheet1!$D$2:$D$4</c:f>
              <c:numCache>
                <c:formatCode>#,##0.0</c:formatCode>
                <c:ptCount val="3"/>
                <c:pt idx="0" formatCode="0.0">
                  <c:v>13.8</c:v>
                </c:pt>
                <c:pt idx="1">
                  <c:v>11.04</c:v>
                </c:pt>
                <c:pt idx="2" formatCode="0.0">
                  <c:v>2.8</c:v>
                </c:pt>
              </c:numCache>
            </c:numRef>
          </c:val>
        </c:ser>
        <c:dLbls>
          <c:showVal val="1"/>
        </c:dLbls>
        <c:axId val="188884096"/>
        <c:axId val="188886016"/>
      </c:barChart>
      <c:catAx>
        <c:axId val="188884096"/>
        <c:scaling>
          <c:orientation val="minMax"/>
        </c:scaling>
        <c:axPos val="b"/>
        <c:title>
          <c:tx>
            <c:rich>
              <a:bodyPr/>
              <a:lstStyle/>
              <a:p>
                <a:pPr rtl="1">
                  <a:defRPr/>
                </a:pPr>
                <a:r>
                  <a:rPr lang="en-US" sz="800">
                    <a:latin typeface="Arial" pitchFamily="34" charset="0"/>
                    <a:cs typeface="Arial" pitchFamily="34" charset="0"/>
                  </a:rPr>
                  <a:t>Region</a:t>
                </a:r>
              </a:p>
            </c:rich>
          </c:tx>
          <c:layout>
            <c:manualLayout>
              <c:xMode val="edge"/>
              <c:yMode val="edge"/>
              <c:x val="0.45766065086483232"/>
              <c:y val="0.85003036515290431"/>
            </c:manualLayout>
          </c:layout>
        </c:title>
        <c:tickLblPos val="nextTo"/>
        <c:txPr>
          <a:bodyPr/>
          <a:lstStyle/>
          <a:p>
            <a:pPr>
              <a:defRPr sz="800">
                <a:latin typeface="Arial" pitchFamily="34" charset="0"/>
                <a:cs typeface="Arial" pitchFamily="34" charset="0"/>
              </a:defRPr>
            </a:pPr>
            <a:endParaRPr lang="ar-SA"/>
          </a:p>
        </c:txPr>
        <c:crossAx val="188886016"/>
        <c:crosses val="autoZero"/>
        <c:auto val="1"/>
        <c:lblAlgn val="ctr"/>
        <c:lblOffset val="100"/>
      </c:catAx>
      <c:valAx>
        <c:axId val="188886016"/>
        <c:scaling>
          <c:orientation val="minMax"/>
          <c:max val="16"/>
          <c:min val="0"/>
        </c:scaling>
        <c:axPos val="l"/>
        <c:title>
          <c:tx>
            <c:rich>
              <a:bodyPr rot="-5400000" vert="horz"/>
              <a:lstStyle/>
              <a:p>
                <a:pPr rtl="1">
                  <a:defRPr/>
                </a:pPr>
                <a:r>
                  <a:rPr lang="en-US"/>
                  <a:t>Value</a:t>
                </a:r>
              </a:p>
            </c:rich>
          </c:tx>
          <c:layout/>
        </c:title>
        <c:numFmt formatCode="0" sourceLinked="0"/>
        <c:tickLblPos val="nextTo"/>
        <c:crossAx val="188884096"/>
        <c:crosses val="autoZero"/>
        <c:crossBetween val="between"/>
        <c:majorUnit val="4"/>
      </c:valAx>
    </c:plotArea>
    <c:legend>
      <c:legendPos val="r"/>
      <c:layout>
        <c:manualLayout>
          <c:xMode val="edge"/>
          <c:yMode val="edge"/>
          <c:x val="0.86033828089448983"/>
          <c:y val="4.1517362808069148E-2"/>
          <c:w val="0.11314083515893306"/>
          <c:h val="0.2633873688013893"/>
        </c:manualLayout>
      </c:layout>
      <c:txPr>
        <a:bodyPr/>
        <a:lstStyle/>
        <a:p>
          <a:pPr rtl="0">
            <a:defRPr/>
          </a:pPr>
          <a:endParaRPr lang="ar-SA"/>
        </a:p>
      </c:txPr>
    </c:legend>
    <c:plotVisOnly val="1"/>
  </c:chart>
  <c:spPr>
    <a:ln w="3175">
      <a:noFill/>
      <a:round/>
    </a:ln>
  </c:spPr>
  <c:txPr>
    <a:bodyPr/>
    <a:lstStyle/>
    <a:p>
      <a:pPr>
        <a:defRPr sz="900">
          <a:cs typeface="+mn-cs"/>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8225419664268591"/>
          <c:y val="4.6913817198936933E-2"/>
          <c:w val="0.79616306954436356"/>
          <c:h val="0.75105768674677365"/>
        </c:manualLayout>
      </c:layout>
      <c:barChart>
        <c:barDir val="col"/>
        <c:grouping val="clustered"/>
        <c:ser>
          <c:idx val="1"/>
          <c:order val="0"/>
          <c:tx>
            <c:strRef>
              <c:f>Sheet1!$A$2</c:f>
              <c:strCache>
                <c:ptCount val="1"/>
                <c:pt idx="0">
                  <c:v>2016</c:v>
                </c:pt>
              </c:strCache>
            </c:strRef>
          </c:tx>
          <c:spPr>
            <a:solidFill>
              <a:srgbClr val="993366"/>
            </a:solidFill>
            <a:ln w="12527">
              <a:solidFill>
                <a:srgbClr val="000000"/>
              </a:solidFill>
              <a:prstDash val="solid"/>
            </a:ln>
          </c:spPr>
          <c:dLbls>
            <c:dLbl>
              <c:idx val="0"/>
              <c:layout/>
              <c:tx>
                <c:rich>
                  <a:bodyPr/>
                  <a:lstStyle/>
                  <a:p>
                    <a:r>
                      <a:rPr lang="en-US"/>
                      <a:t>18,132</a:t>
                    </a:r>
                  </a:p>
                </c:rich>
              </c:tx>
              <c:showVal val="1"/>
              <c:extLst>
                <c:ext xmlns:c15="http://schemas.microsoft.com/office/drawing/2012/chart" uri="{CE6537A1-D6FC-4f65-9D91-7224C49458BB}"/>
              </c:extLst>
            </c:dLbl>
            <c:dLbl>
              <c:idx val="1"/>
              <c:layout>
                <c:manualLayout>
                  <c:x val="1.8071592254469701E-3"/>
                  <c:y val="2.714117831651985E-3"/>
                </c:manualLayout>
              </c:layout>
              <c:tx>
                <c:rich>
                  <a:bodyPr/>
                  <a:lstStyle/>
                  <a:p>
                    <a:r>
                      <a:rPr lang="en-US"/>
                      <a:t>92,734</a:t>
                    </a:r>
                  </a:p>
                </c:rich>
              </c:tx>
              <c:dLblPos val="outEnd"/>
              <c:showVal val="1"/>
              <c:extLst>
                <c:ext xmlns:c15="http://schemas.microsoft.com/office/drawing/2012/chart" uri="{CE6537A1-D6FC-4f65-9D91-7224C49458BB}"/>
              </c:extLst>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extLst>
              <c:ext xmlns:c15="http://schemas.microsoft.com/office/drawing/2012/chart" uri="{CE6537A1-D6FC-4f65-9D91-7224C49458BB}">
                <c15:showLeaderLines val="0"/>
              </c:ext>
            </c:extLst>
          </c:dLbls>
          <c:cat>
            <c:strRef>
              <c:f>Sheet1!$B$1:$C$1</c:f>
              <c:strCache>
                <c:ptCount val="2"/>
                <c:pt idx="0">
                  <c:v>No. of Enterprises </c:v>
                </c:pt>
                <c:pt idx="1">
                  <c:v>No. of Employed Persons</c:v>
                </c:pt>
              </c:strCache>
            </c:strRef>
          </c:cat>
          <c:val>
            <c:numRef>
              <c:f>Sheet1!$B$2:$C$2</c:f>
              <c:numCache>
                <c:formatCode>General</c:formatCode>
                <c:ptCount val="2"/>
                <c:pt idx="0">
                  <c:v>18132</c:v>
                </c:pt>
                <c:pt idx="1">
                  <c:v>92734</c:v>
                </c:pt>
              </c:numCache>
            </c:numRef>
          </c:val>
        </c:ser>
        <c:ser>
          <c:idx val="2"/>
          <c:order val="1"/>
          <c:tx>
            <c:strRef>
              <c:f>Sheet1!$A$3</c:f>
              <c:strCache>
                <c:ptCount val="1"/>
                <c:pt idx="0">
                  <c:v>2017</c:v>
                </c:pt>
              </c:strCache>
            </c:strRef>
          </c:tx>
          <c:spPr>
            <a:solidFill>
              <a:srgbClr val="FFFFCC"/>
            </a:solidFill>
            <a:ln w="12527">
              <a:solidFill>
                <a:srgbClr val="000000"/>
              </a:solidFill>
              <a:prstDash val="solid"/>
            </a:ln>
          </c:spPr>
          <c:dLbls>
            <c:dLbl>
              <c:idx val="0"/>
              <c:layout>
                <c:manualLayout>
                  <c:x val="5.8428692037129134E-3"/>
                  <c:y val="3.3410931400960292E-3"/>
                </c:manualLayout>
              </c:layout>
              <c:tx>
                <c:rich>
                  <a:bodyPr/>
                  <a:lstStyle/>
                  <a:p>
                    <a:r>
                      <a:rPr lang="en-US"/>
                      <a:t>19,367</a:t>
                    </a:r>
                  </a:p>
                </c:rich>
              </c:tx>
              <c:dLblPos val="outEnd"/>
              <c:showVal val="1"/>
            </c:dLbl>
            <c:dLbl>
              <c:idx val="1"/>
              <c:layout>
                <c:manualLayout>
                  <c:x val="8.2410103551060505E-3"/>
                  <c:y val="2.9991066082175775E-3"/>
                </c:manualLayout>
              </c:layout>
              <c:tx>
                <c:rich>
                  <a:bodyPr/>
                  <a:lstStyle/>
                  <a:p>
                    <a:r>
                      <a:rPr lang="en-US"/>
                      <a:t>98,776</a:t>
                    </a:r>
                  </a:p>
                </c:rich>
              </c:tx>
              <c:dLblPos val="outEnd"/>
              <c:extLst>
                <c:ext xmlns:c15="http://schemas.microsoft.com/office/drawing/2012/chart" uri="{CE6537A1-D6FC-4f65-9D91-7224C49458BB}"/>
              </c:extLst>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extLst>
              <c:ext xmlns:c15="http://schemas.microsoft.com/office/drawing/2012/chart" uri="{CE6537A1-D6FC-4f65-9D91-7224C49458BB}">
                <c15:showLeaderLines val="0"/>
              </c:ext>
            </c:extLst>
          </c:dLbls>
          <c:cat>
            <c:strRef>
              <c:f>Sheet1!$B$1:$C$1</c:f>
              <c:strCache>
                <c:ptCount val="2"/>
                <c:pt idx="0">
                  <c:v>No. of Enterprises </c:v>
                </c:pt>
                <c:pt idx="1">
                  <c:v>No. of Employed Persons</c:v>
                </c:pt>
              </c:strCache>
            </c:strRef>
          </c:cat>
          <c:val>
            <c:numRef>
              <c:f>Sheet1!$B$3:$C$3</c:f>
              <c:numCache>
                <c:formatCode>General</c:formatCode>
                <c:ptCount val="2"/>
                <c:pt idx="0">
                  <c:v>19367</c:v>
                </c:pt>
                <c:pt idx="1">
                  <c:v>98776</c:v>
                </c:pt>
              </c:numCache>
            </c:numRef>
          </c:val>
        </c:ser>
        <c:ser>
          <c:idx val="0"/>
          <c:order val="2"/>
          <c:tx>
            <c:strRef>
              <c:f>Sheet1!$A$4</c:f>
              <c:strCache>
                <c:ptCount val="1"/>
                <c:pt idx="0">
                  <c:v>2018</c:v>
                </c:pt>
              </c:strCache>
            </c:strRef>
          </c:tx>
          <c:dLbls>
            <c:spPr>
              <a:noFill/>
              <a:ln>
                <a:noFill/>
              </a:ln>
              <a:effectLst/>
            </c:spPr>
            <c:showVal val="1"/>
            <c:extLst>
              <c:ext xmlns:c15="http://schemas.microsoft.com/office/drawing/2012/chart" uri="{CE6537A1-D6FC-4f65-9D91-7224C49458BB}">
                <c15:showLeaderLines val="0"/>
              </c:ext>
            </c:extLst>
          </c:dLbls>
          <c:cat>
            <c:strRef>
              <c:f>Sheet1!$B$1:$C$1</c:f>
              <c:strCache>
                <c:ptCount val="2"/>
                <c:pt idx="0">
                  <c:v>No. of Enterprises </c:v>
                </c:pt>
                <c:pt idx="1">
                  <c:v>No. of Employed Persons</c:v>
                </c:pt>
              </c:strCache>
            </c:strRef>
          </c:cat>
          <c:val>
            <c:numRef>
              <c:f>Sheet1!$B$4:$C$4</c:f>
              <c:numCache>
                <c:formatCode>_-* #,##0_-;_-* #,##0\-;_-* "-"??_-;_-@_-</c:formatCode>
                <c:ptCount val="2"/>
                <c:pt idx="0">
                  <c:v>19118</c:v>
                </c:pt>
                <c:pt idx="1">
                  <c:v>95787</c:v>
                </c:pt>
              </c:numCache>
            </c:numRef>
          </c:val>
        </c:ser>
        <c:dLbls>
          <c:showVal val="1"/>
        </c:dLbls>
        <c:axId val="97269632"/>
        <c:axId val="97271168"/>
      </c:barChart>
      <c:catAx>
        <c:axId val="97269632"/>
        <c:scaling>
          <c:orientation val="minMax"/>
        </c:scaling>
        <c:axPos val="b"/>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97271168"/>
        <c:crosses val="autoZero"/>
        <c:auto val="1"/>
        <c:lblAlgn val="ctr"/>
        <c:lblOffset val="100"/>
        <c:tickLblSkip val="1"/>
        <c:tickMarkSkip val="1"/>
      </c:catAx>
      <c:valAx>
        <c:axId val="97271168"/>
        <c:scaling>
          <c:orientation val="minMax"/>
        </c:scaling>
        <c:axPos val="l"/>
        <c:title>
          <c:tx>
            <c:rich>
              <a:bodyPr/>
              <a:lstStyle/>
              <a:p>
                <a:pPr>
                  <a:defRPr sz="785" b="1" i="0" u="none" strike="noStrike" baseline="0">
                    <a:solidFill>
                      <a:srgbClr val="000000"/>
                    </a:solidFill>
                    <a:latin typeface="Arial"/>
                    <a:ea typeface="Arial"/>
                    <a:cs typeface="Arial"/>
                  </a:defRPr>
                </a:pPr>
                <a:r>
                  <a:rPr lang="en-GB"/>
                  <a:t>Number</a:t>
                </a:r>
              </a:p>
            </c:rich>
          </c:tx>
          <c:layout>
            <c:manualLayout>
              <c:xMode val="edge"/>
              <c:yMode val="edge"/>
              <c:x val="2.6379038386627283E-2"/>
              <c:y val="0.25974024214715075"/>
            </c:manualLayout>
          </c:layout>
          <c:spPr>
            <a:noFill/>
            <a:ln w="25045">
              <a:noFill/>
            </a:ln>
          </c:spPr>
        </c:title>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97269632"/>
        <c:crosses val="autoZero"/>
        <c:crossBetween val="between"/>
      </c:valAx>
      <c:spPr>
        <a:noFill/>
        <a:ln w="25395">
          <a:noFill/>
        </a:ln>
      </c:spPr>
    </c:plotArea>
    <c:legend>
      <c:legendPos val="t"/>
      <c:layout>
        <c:manualLayout>
          <c:xMode val="edge"/>
          <c:yMode val="edge"/>
          <c:x val="0.30012708265483468"/>
          <c:y val="0.10019337905342479"/>
          <c:w val="0.26746566417915968"/>
          <c:h val="0.11336419311222461"/>
        </c:manualLayout>
      </c:layout>
      <c:spPr>
        <a:noFill/>
        <a:ln w="3127">
          <a:solidFill>
            <a:srgbClr val="000000"/>
          </a:solidFill>
          <a:prstDash val="solid"/>
        </a:ln>
      </c:spPr>
      <c:txPr>
        <a:bodyPr/>
        <a:lstStyle/>
        <a:p>
          <a:pPr>
            <a:defRPr sz="726"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790" b="0" i="0" u="none" strike="noStrike" baseline="0">
          <a:solidFill>
            <a:srgbClr val="000000"/>
          </a:solidFill>
          <a:latin typeface="Arial"/>
          <a:ea typeface="Arial"/>
          <a:cs typeface="Arial"/>
        </a:defRPr>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D0108-7B5C-4E57-A67A-A3350D439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22</Pages>
  <Words>4947</Words>
  <Characters>25954</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Land Use</vt:lpstr>
    </vt:vector>
  </TitlesOfParts>
  <Company>PCBS</Company>
  <LinksUpToDate>false</LinksUpToDate>
  <CharactersWithSpaces>30840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Use</dc:title>
  <dc:creator>YOUSEF</dc:creator>
  <cp:lastModifiedBy>rsarawan</cp:lastModifiedBy>
  <cp:revision>46</cp:revision>
  <cp:lastPrinted>2019-12-19T07:27:00Z</cp:lastPrinted>
  <dcterms:created xsi:type="dcterms:W3CDTF">2019-11-28T07:54:00Z</dcterms:created>
  <dcterms:modified xsi:type="dcterms:W3CDTF">2019-12-29T07:45:00Z</dcterms:modified>
</cp:coreProperties>
</file>